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tcPr>
          <w:p>
            <w:pPr>
              <w:keepNext w:val="0"/>
              <w:keepLines w:val="0"/>
              <w:pageBreakBefore w:val="0"/>
              <w:widowControl w:val="0"/>
              <w:kinsoku/>
              <w:wordWrap/>
              <w:overflowPunct/>
              <w:topLinePunct w:val="0"/>
              <w:autoSpaceDE/>
              <w:autoSpaceDN/>
              <w:bidi w:val="0"/>
              <w:adjustRightInd/>
              <w:snapToGrid/>
              <w:jc w:val="distribute"/>
              <w:textAlignment w:val="auto"/>
              <w:rPr>
                <w:rFonts w:ascii="仿宋_GB2312" w:hAnsi="华文仿宋" w:eastAsia="仿宋_GB2312"/>
                <w:kern w:val="0"/>
                <w:sz w:val="28"/>
                <w:szCs w:val="30"/>
              </w:rPr>
            </w:pPr>
            <w:r>
              <w:rPr>
                <w:rFonts w:ascii="黑体" w:hAnsi="黑体" w:eastAsia="黑体" w:cs="黑体"/>
                <w:kern w:val="0"/>
                <w:sz w:val="28"/>
                <w:szCs w:val="30"/>
              </w:rPr>
              <w:t>集体名称</w:t>
            </w:r>
          </w:p>
        </w:tc>
        <w:tc>
          <w:tcPr>
            <w:tcW w:w="7281" w:type="dxa"/>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华文仿宋" w:eastAsia="仿宋_GB2312"/>
                <w:kern w:val="0"/>
                <w:sz w:val="28"/>
                <w:szCs w:val="30"/>
                <w:lang w:val="en-US" w:eastAsia="zh-CN"/>
              </w:rPr>
            </w:pPr>
            <w:r>
              <w:rPr>
                <w:rFonts w:hint="eastAsia" w:ascii="仿宋_GB2312" w:hAnsi="华文仿宋" w:eastAsia="仿宋_GB2312"/>
                <w:kern w:val="0"/>
                <w:sz w:val="28"/>
                <w:szCs w:val="30"/>
              </w:rPr>
              <w:t>浙江大学</w:t>
            </w:r>
            <w:r>
              <w:rPr>
                <w:rFonts w:hint="eastAsia" w:ascii="仿宋_GB2312" w:hAnsi="华文仿宋" w:eastAsia="仿宋_GB2312"/>
                <w:kern w:val="0"/>
                <w:sz w:val="28"/>
                <w:szCs w:val="30"/>
                <w:lang w:val="en-US" w:eastAsia="zh-CN"/>
              </w:rPr>
              <w:t>本科生院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014" w:type="dxa"/>
          </w:tcPr>
          <w:p>
            <w:pPr>
              <w:keepNext w:val="0"/>
              <w:keepLines w:val="0"/>
              <w:pageBreakBefore w:val="0"/>
              <w:widowControl w:val="0"/>
              <w:kinsoku/>
              <w:wordWrap/>
              <w:overflowPunct/>
              <w:topLinePunct w:val="0"/>
              <w:autoSpaceDE/>
              <w:autoSpaceDN/>
              <w:bidi w:val="0"/>
              <w:adjustRightInd/>
              <w:snapToGrid/>
              <w:jc w:val="distribute"/>
              <w:textAlignment w:val="auto"/>
              <w:rPr>
                <w:rFonts w:ascii="黑体" w:hAnsi="黑体" w:eastAsia="黑体" w:cs="黑体"/>
                <w:kern w:val="0"/>
                <w:sz w:val="28"/>
                <w:szCs w:val="30"/>
              </w:rPr>
            </w:pPr>
            <w:r>
              <w:rPr>
                <w:rFonts w:ascii="黑体" w:hAnsi="黑体" w:eastAsia="黑体" w:cs="黑体"/>
                <w:kern w:val="0"/>
                <w:sz w:val="28"/>
                <w:szCs w:val="30"/>
              </w:rPr>
              <w:t>集体负责人</w:t>
            </w:r>
          </w:p>
          <w:p>
            <w:pPr>
              <w:keepNext w:val="0"/>
              <w:keepLines w:val="0"/>
              <w:pageBreakBefore w:val="0"/>
              <w:widowControl w:val="0"/>
              <w:kinsoku/>
              <w:wordWrap/>
              <w:overflowPunct/>
              <w:topLinePunct w:val="0"/>
              <w:autoSpaceDE/>
              <w:autoSpaceDN/>
              <w:bidi w:val="0"/>
              <w:adjustRightInd/>
              <w:snapToGrid/>
              <w:jc w:val="distribute"/>
              <w:textAlignment w:val="auto"/>
              <w:rPr>
                <w:rFonts w:ascii="黑体" w:hAnsi="黑体" w:eastAsia="黑体" w:cs="黑体"/>
                <w:kern w:val="0"/>
                <w:sz w:val="28"/>
                <w:szCs w:val="30"/>
              </w:rPr>
            </w:pPr>
            <w:r>
              <w:rPr>
                <w:rFonts w:ascii="黑体" w:hAnsi="黑体" w:eastAsia="黑体" w:cs="黑体"/>
                <w:kern w:val="0"/>
                <w:sz w:val="28"/>
                <w:szCs w:val="30"/>
              </w:rPr>
              <w:t>姓名</w:t>
            </w:r>
          </w:p>
        </w:tc>
        <w:tc>
          <w:tcPr>
            <w:tcW w:w="728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华文仿宋" w:eastAsia="仿宋_GB2312"/>
                <w:kern w:val="0"/>
                <w:sz w:val="28"/>
                <w:szCs w:val="30"/>
                <w:lang w:val="en-US" w:eastAsia="zh-CN"/>
              </w:rPr>
            </w:pPr>
            <w:r>
              <w:rPr>
                <w:rFonts w:hint="eastAsia" w:ascii="仿宋_GB2312" w:hAnsi="华文仿宋" w:eastAsia="仿宋_GB2312"/>
                <w:kern w:val="0"/>
                <w:sz w:val="28"/>
                <w:szCs w:val="30"/>
                <w:lang w:val="en-US" w:eastAsia="zh-CN"/>
              </w:rPr>
              <w:t>张光新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Align w:val="center"/>
          </w:tcPr>
          <w:p>
            <w:pPr>
              <w:keepNext w:val="0"/>
              <w:keepLines w:val="0"/>
              <w:pageBreakBefore w:val="0"/>
              <w:widowControl w:val="0"/>
              <w:kinsoku/>
              <w:wordWrap/>
              <w:overflowPunct/>
              <w:topLinePunct w:val="0"/>
              <w:autoSpaceDE/>
              <w:autoSpaceDN/>
              <w:bidi w:val="0"/>
              <w:adjustRightInd/>
              <w:snapToGrid/>
              <w:jc w:val="distribute"/>
              <w:textAlignment w:val="auto"/>
              <w:rPr>
                <w:rFonts w:ascii="仿宋_GB2312" w:hAnsi="华文仿宋" w:eastAsia="仿宋_GB2312"/>
                <w:kern w:val="0"/>
                <w:sz w:val="28"/>
                <w:szCs w:val="30"/>
              </w:rPr>
            </w:pPr>
            <w:r>
              <w:rPr>
                <w:rFonts w:ascii="黑体" w:hAnsi="黑体" w:eastAsia="黑体" w:cs="黑体"/>
                <w:kern w:val="0"/>
                <w:sz w:val="28"/>
                <w:szCs w:val="30"/>
              </w:rPr>
              <w:t>集体类别</w:t>
            </w:r>
          </w:p>
        </w:tc>
        <w:tc>
          <w:tcPr>
            <w:tcW w:w="7281" w:type="dxa"/>
          </w:tcPr>
          <w:p>
            <w:pPr>
              <w:keepNext w:val="0"/>
              <w:keepLines w:val="0"/>
              <w:pageBreakBefore w:val="0"/>
              <w:widowControl w:val="0"/>
              <w:kinsoku/>
              <w:wordWrap/>
              <w:overflowPunct/>
              <w:topLinePunct w:val="0"/>
              <w:autoSpaceDE/>
              <w:autoSpaceDN/>
              <w:bidi w:val="0"/>
              <w:adjustRightInd/>
              <w:snapToGrid/>
              <w:jc w:val="left"/>
              <w:textAlignment w:val="auto"/>
              <w:rPr>
                <w:rFonts w:ascii="仿宋_GB2312" w:hAnsi="华文仿宋" w:eastAsia="仿宋_GB2312"/>
                <w:kern w:val="0"/>
                <w:sz w:val="28"/>
                <w:szCs w:val="30"/>
              </w:rPr>
            </w:pPr>
            <w:r>
              <w:rPr>
                <w:rFonts w:ascii="仿宋_GB2312" w:hAnsi="华文仿宋" w:eastAsia="仿宋_GB2312"/>
                <w:kern w:val="0"/>
                <w:sz w:val="28"/>
                <w:szCs w:val="30"/>
              </w:rPr>
              <w:sym w:font="Wingdings" w:char="00A8"/>
            </w:r>
            <w:r>
              <w:rPr>
                <w:rFonts w:ascii="仿宋_GB2312" w:hAnsi="华文仿宋" w:eastAsia="仿宋_GB2312"/>
                <w:kern w:val="0"/>
                <w:sz w:val="28"/>
                <w:szCs w:val="30"/>
              </w:rPr>
              <w:t xml:space="preserve">教材研究  </w:t>
            </w:r>
            <w:r>
              <w:rPr>
                <w:rFonts w:hint="eastAsia" w:asciiTheme="minorEastAsia" w:hAnsiTheme="minorEastAsia"/>
                <w:kern w:val="0"/>
                <w:sz w:val="28"/>
                <w:szCs w:val="28"/>
              </w:rPr>
              <w:t>■</w:t>
            </w:r>
            <w:r>
              <w:rPr>
                <w:rFonts w:ascii="仿宋_GB2312" w:hAnsi="华文仿宋" w:eastAsia="仿宋_GB2312"/>
                <w:kern w:val="0"/>
                <w:sz w:val="28"/>
                <w:szCs w:val="30"/>
              </w:rPr>
              <w:t xml:space="preserve">教材编写   </w:t>
            </w:r>
            <w:r>
              <w:rPr>
                <w:rFonts w:hint="eastAsia" w:asciiTheme="minorEastAsia" w:hAnsiTheme="minorEastAsia"/>
                <w:kern w:val="0"/>
                <w:sz w:val="28"/>
                <w:szCs w:val="28"/>
              </w:rPr>
              <w:t>■</w:t>
            </w:r>
            <w:r>
              <w:rPr>
                <w:rFonts w:ascii="仿宋_GB2312" w:hAnsi="华文仿宋" w:eastAsia="仿宋_GB2312"/>
                <w:kern w:val="0"/>
                <w:sz w:val="28"/>
                <w:szCs w:val="30"/>
              </w:rPr>
              <w:t>教材审核</w:t>
            </w:r>
          </w:p>
          <w:p>
            <w:pPr>
              <w:jc w:val="left"/>
              <w:rPr>
                <w:rFonts w:hint="eastAsia" w:ascii="仿宋_GB2312" w:hAnsi="华文仿宋" w:eastAsia="仿宋_GB2312"/>
                <w:kern w:val="0"/>
                <w:sz w:val="28"/>
                <w:szCs w:val="30"/>
                <w:lang w:eastAsia="zh-CN"/>
              </w:rPr>
            </w:pPr>
            <w:r>
              <w:rPr>
                <w:rFonts w:ascii="仿宋_GB2312" w:hAnsi="华文仿宋" w:eastAsia="仿宋_GB2312"/>
                <w:kern w:val="0"/>
                <w:sz w:val="28"/>
                <w:szCs w:val="30"/>
              </w:rPr>
              <w:sym w:font="Wingdings" w:char="00A8"/>
            </w:r>
            <w:r>
              <w:rPr>
                <w:rFonts w:ascii="仿宋_GB2312" w:hAnsi="华文仿宋" w:eastAsia="仿宋_GB2312"/>
                <w:kern w:val="0"/>
                <w:sz w:val="28"/>
                <w:szCs w:val="30"/>
              </w:rPr>
              <w:t xml:space="preserve">教材出版发行   </w:t>
            </w:r>
            <w:r>
              <w:rPr>
                <w:rFonts w:hint="eastAsia" w:asciiTheme="minorEastAsia" w:hAnsiTheme="minorEastAsia"/>
                <w:kern w:val="0"/>
                <w:sz w:val="28"/>
                <w:szCs w:val="28"/>
              </w:rPr>
              <w:t>■</w:t>
            </w:r>
            <w:r>
              <w:rPr>
                <w:rFonts w:ascii="仿宋_GB2312" w:hAnsi="华文仿宋" w:eastAsia="仿宋_GB2312"/>
                <w:kern w:val="0"/>
                <w:sz w:val="28"/>
                <w:szCs w:val="30"/>
              </w:rPr>
              <w:t>教材管理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5" w:type="dxa"/>
            <w:gridSpan w:val="2"/>
            <w:vAlign w:val="center"/>
          </w:tcPr>
          <w:p>
            <w:pPr>
              <w:spacing w:before="156" w:beforeLines="50" w:after="156" w:afterLines="50" w:line="360" w:lineRule="auto"/>
              <w:jc w:val="left"/>
              <w:rPr>
                <w:rFonts w:hint="eastAsia" w:ascii="仿宋" w:hAnsi="仿宋" w:eastAsia="仿宋"/>
                <w:kern w:val="0"/>
                <w:sz w:val="28"/>
                <w:szCs w:val="28"/>
              </w:rPr>
            </w:pPr>
            <w:r>
              <w:rPr>
                <w:rFonts w:ascii="黑体" w:hAnsi="黑体" w:eastAsia="黑体" w:cs="黑体"/>
                <w:kern w:val="0"/>
                <w:sz w:val="30"/>
                <w:szCs w:val="30"/>
              </w:rPr>
              <w:t>主要先进事迹（</w:t>
            </w:r>
            <w:r>
              <w:rPr>
                <w:rFonts w:hint="eastAsia" w:ascii="黑体" w:hAnsi="黑体" w:eastAsia="黑体" w:cs="黑体"/>
                <w:kern w:val="0"/>
                <w:sz w:val="30"/>
                <w:szCs w:val="30"/>
              </w:rPr>
              <w:t>不超过</w:t>
            </w:r>
            <w:r>
              <w:rPr>
                <w:rFonts w:ascii="黑体" w:hAnsi="黑体" w:eastAsia="黑体" w:cs="黑体"/>
                <w:kern w:val="0"/>
                <w:sz w:val="30"/>
                <w:szCs w:val="30"/>
              </w:rPr>
              <w:t>200</w:t>
            </w:r>
            <w:bookmarkStart w:id="0" w:name="_GoBack"/>
            <w:bookmarkEnd w:id="0"/>
            <w:r>
              <w:rPr>
                <w:rFonts w:ascii="黑体" w:hAnsi="黑体" w:eastAsia="黑体" w:cs="黑体"/>
                <w:kern w:val="0"/>
                <w:sz w:val="30"/>
                <w:szCs w:val="30"/>
              </w:rPr>
              <w:t>0字）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建设高质量教材体系是培养一流人才的重要基础。本科生院作为浙江大学本科教材的主管部门，主动谋划教材建设，全面规范教材管理，大力打造具有浙大特色的、顺应新时代要求的高水平教材，为全面落实立德树人提供有力支撑。</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一、建立健全领导机制，加强教材工作顶层设计。</w:t>
            </w:r>
            <w:r>
              <w:rPr>
                <w:rFonts w:hint="default" w:ascii="Times New Roman" w:hAnsi="Times New Roman" w:eastAsia="仿宋_GB2312" w:cs="Times New Roman"/>
                <w:kern w:val="0"/>
                <w:sz w:val="28"/>
                <w:szCs w:val="28"/>
              </w:rPr>
              <w:t>2016年12月，成立浙江大学教材建设工作领导小组，负责研究落实国家教材建设任务，研究审议教材建设重要事项，统筹条件保障；2017年11月，成立浙江大学教材建设专家委员会，重点负责指导学校哲学社会科学教材建设的规划、组织与管理工作；2020年7月，成立浙江大学教材工作领导小组，由校党委书记和校长担任组长，党委</w:t>
            </w:r>
            <w:r>
              <w:rPr>
                <w:rFonts w:hint="default" w:ascii="Times New Roman" w:hAnsi="Times New Roman" w:eastAsia="仿宋_GB2312" w:cs="Times New Roman"/>
                <w:bCs/>
                <w:color w:val="000000"/>
                <w:kern w:val="0"/>
                <w:sz w:val="28"/>
                <w:szCs w:val="28"/>
              </w:rPr>
              <w:t>宣传部等18个相关部门作为成员单位，</w:t>
            </w:r>
            <w:r>
              <w:rPr>
                <w:rFonts w:hint="default" w:ascii="Times New Roman" w:hAnsi="Times New Roman" w:eastAsia="仿宋_GB2312" w:cs="Times New Roman"/>
                <w:kern w:val="0"/>
                <w:sz w:val="28"/>
                <w:szCs w:val="28"/>
              </w:rPr>
              <w:t>全面负责教材建设和选用工作。本科生院作为以上小组的办公室单位，</w:t>
            </w:r>
            <w:r>
              <w:rPr>
                <w:rFonts w:hint="default" w:ascii="Times New Roman" w:hAnsi="Times New Roman" w:eastAsia="仿宋_GB2312" w:cs="Times New Roman"/>
                <w:bCs/>
                <w:color w:val="000000"/>
                <w:kern w:val="0"/>
                <w:sz w:val="28"/>
                <w:szCs w:val="28"/>
              </w:rPr>
              <w:t>负责教材工作的具体组织和协调落实。先后</w:t>
            </w:r>
            <w:r>
              <w:rPr>
                <w:rFonts w:hint="default" w:ascii="Times New Roman" w:hAnsi="Times New Roman" w:eastAsia="仿宋_GB2312" w:cs="Times New Roman"/>
                <w:kern w:val="0"/>
                <w:sz w:val="28"/>
                <w:szCs w:val="28"/>
              </w:rPr>
              <w:t>出台《浙江大学本科教材选用管理办法》《浙江大学教材管理办法》《浙江大学选用境外教材管理办法》，从管理职责、教材规划、教材编写、教材审核、教材选用、支持保障、检查监督等方面提出了明确规定和要求。全面深化浙江大学教材建设工作，将教材建设纳入学校、学院（系）“双一流”建设、“十四五”规划。</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二、强化校内培育机制，推进高水平教材建设。</w:t>
            </w:r>
            <w:r>
              <w:rPr>
                <w:rFonts w:hint="default" w:ascii="Times New Roman" w:hAnsi="Times New Roman" w:eastAsia="仿宋_GB2312" w:cs="Times New Roman"/>
                <w:kern w:val="0"/>
                <w:sz w:val="28"/>
                <w:szCs w:val="28"/>
              </w:rPr>
              <w:t>持续推进校院两级教材立项建设工作，将思政育人元素作为校级教材项目建设要求，重点组织编写高水平教材，着力构建“国家级-省级-校级”三位一体优秀教材体系。“十二五”期间，国家级规划教材入选67种（88本），入选种数位列C9高校第3，立项</w:t>
            </w:r>
            <w:r>
              <w:rPr>
                <w:rFonts w:hint="default" w:ascii="Times New Roman" w:hAnsi="Times New Roman" w:eastAsia="仿宋_GB2312" w:cs="Times New Roman"/>
                <w:color w:val="000000"/>
                <w:kern w:val="0"/>
                <w:sz w:val="28"/>
                <w:szCs w:val="28"/>
              </w:rPr>
              <w:t>26个系列教材、63个特色</w:t>
            </w:r>
            <w:r>
              <w:rPr>
                <w:rFonts w:hint="default" w:ascii="Times New Roman" w:hAnsi="Times New Roman" w:eastAsia="仿宋_GB2312" w:cs="Times New Roman"/>
                <w:color w:val="000000"/>
                <w:kern w:val="0"/>
                <w:sz w:val="28"/>
                <w:szCs w:val="28"/>
                <w:lang w:val="en-US" w:eastAsia="zh-CN"/>
              </w:rPr>
              <w:t>校级</w:t>
            </w:r>
            <w:r>
              <w:rPr>
                <w:rFonts w:hint="default" w:ascii="Times New Roman" w:hAnsi="Times New Roman" w:eastAsia="仿宋_GB2312" w:cs="Times New Roman"/>
                <w:color w:val="000000"/>
                <w:kern w:val="0"/>
                <w:sz w:val="28"/>
                <w:szCs w:val="28"/>
              </w:rPr>
              <w:t>教材项目，</w:t>
            </w:r>
            <w:r>
              <w:rPr>
                <w:rFonts w:hint="default" w:ascii="Times New Roman" w:hAnsi="Times New Roman" w:eastAsia="仿宋_GB2312" w:cs="Times New Roman"/>
                <w:kern w:val="0"/>
                <w:sz w:val="28"/>
                <w:szCs w:val="28"/>
              </w:rPr>
              <w:t>正式出版教材515本；“十三五”期间，立项232个校级教材项目，正式出版教材344本，22本教材入选农业部“十三五”规划教材、60本教材入选省“十二五”优秀教材、51本教材入选省“十三五”新形态教材建设项目。推进新形态教材的建设，召开全校新形态教材推进会议，并辐射全省。结合一流专业、一流课程建设，在以课程为单位的教材建设工作基础上，积极部署推进以专业（群）为单位的系列优秀教材建设工作。推动教师参与国家统编教材、习近平新时代中国特色社会主义思想教辅资料等编写工作，目前我校教师共出版了1本习近平新时代中国特色社会主义思想教辅资料</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2位教师担任马工程教材主编，10位教师参与编写或修订工作，21位教师参与审阅工作。</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三、加强教材选用把关，强化意识形态审核。</w:t>
            </w:r>
            <w:r>
              <w:rPr>
                <w:rFonts w:hint="default" w:ascii="Times New Roman" w:hAnsi="Times New Roman" w:eastAsia="仿宋_GB2312" w:cs="Times New Roman"/>
                <w:kern w:val="0"/>
                <w:sz w:val="28"/>
                <w:szCs w:val="28"/>
              </w:rPr>
              <w:t>2017年7月，成立人文、社科类课程改革工作小组，指导各院系在引进教材、编写和选用教材时对涉及意识形态方面内容的把控。明确新开课程审核时，各审核部门需审核课程教材、参考书、讲义、教学PPT及意识形态相关内容；2018年出台的《浙江大学本科教材选用管理办法》，严格落实教材选用的审核备案制，在“教学管理信息服务平台”实现校院两级信息化管理；2020年出台的《浙江大学教材管理办法》和《浙江大学选用境外教材管理办法》，明确教材选用遵循凡选必审原则，进一步规范了选用审核流程。组织开展全校所有本科课程选用教材的摸排工作，严格把关教材政治方向和价值导向。</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四、推进统编教材使用，实现“马工程”教材全覆盖。</w:t>
            </w:r>
            <w:r>
              <w:rPr>
                <w:rFonts w:hint="default" w:ascii="Times New Roman" w:hAnsi="Times New Roman" w:eastAsia="仿宋_GB2312" w:cs="Times New Roman"/>
                <w:kern w:val="0"/>
                <w:sz w:val="28"/>
                <w:szCs w:val="28"/>
              </w:rPr>
              <w:t>严格落实马工程重点教材“该用必用”的硬任务，加强马工程重点教材使用情况动态跟踪，完善使用情况反馈机制。目前我校开设的四门本科思想政治理论课程均已使用2018版统编教材，覆盖全校所有本科生；适用马工程教材的111门本科生课程已全部使用马工程教材，并及时更新了课程教学大纲、教学日历、教学内容。积极组织教师参加教育部和浙江省教育厅开展的高校思想政治理论课教材使用培训、“马工程”重点教材培训等，帮助任课教师吃准吃透教材的主要精神和基本内容，提高教学能力和水平。</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五、加强政策保障，完善教材建设激励机制。</w:t>
            </w:r>
            <w:r>
              <w:rPr>
                <w:rFonts w:hint="default" w:ascii="Times New Roman" w:hAnsi="Times New Roman" w:eastAsia="仿宋_GB2312" w:cs="Times New Roman"/>
                <w:kern w:val="0"/>
                <w:sz w:val="28"/>
                <w:szCs w:val="28"/>
              </w:rPr>
              <w:t>2017年出台的《浙江大学教育教学奖励办法》，对获评国家级、省级以及外文教材奖的教材给予2-5万的奖励；学校每年以立项形式支持教材培育工作，重点支持教材出版费、新形态教材素材制作费等，并对正式出版的校级教材予以津贴奖励；2020年，进一步加大了高水平教材奖励力度，对承担马克思主义理论研究和建设工程重点教材编写修订任务的主编和核心编者给予10万元/种的奖励，入选国家级</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省部级</w:t>
            </w:r>
            <w:r>
              <w:rPr>
                <w:rFonts w:hint="default" w:ascii="Times New Roman" w:hAnsi="Times New Roman" w:eastAsia="仿宋_GB2312" w:cs="Times New Roman"/>
                <w:kern w:val="0"/>
                <w:sz w:val="28"/>
                <w:szCs w:val="28"/>
              </w:rPr>
              <w:t>规划教材</w:t>
            </w:r>
            <w:r>
              <w:rPr>
                <w:rFonts w:hint="default" w:ascii="Times New Roman" w:hAnsi="Times New Roman" w:eastAsia="仿宋_GB2312" w:cs="Times New Roman"/>
                <w:kern w:val="0"/>
                <w:sz w:val="28"/>
                <w:szCs w:val="28"/>
                <w:lang w:val="en-US" w:eastAsia="zh-CN"/>
              </w:rPr>
              <w:t>分别</w:t>
            </w:r>
            <w:r>
              <w:rPr>
                <w:rFonts w:hint="default" w:ascii="Times New Roman" w:hAnsi="Times New Roman" w:eastAsia="仿宋_GB2312" w:cs="Times New Roman"/>
                <w:kern w:val="0"/>
                <w:sz w:val="28"/>
                <w:szCs w:val="28"/>
              </w:rPr>
              <w:t>给予</w:t>
            </w:r>
            <w:r>
              <w:rPr>
                <w:rFonts w:hint="default" w:ascii="Times New Roman" w:hAnsi="Times New Roman" w:eastAsia="仿宋_GB2312" w:cs="Times New Roman"/>
                <w:kern w:val="0"/>
                <w:sz w:val="28"/>
                <w:szCs w:val="28"/>
                <w:lang w:val="en-US" w:eastAsia="zh-CN"/>
              </w:rPr>
              <w:t>每种</w:t>
            </w:r>
            <w:r>
              <w:rPr>
                <w:rFonts w:hint="default" w:ascii="Times New Roman" w:hAnsi="Times New Roman" w:eastAsia="仿宋_GB2312" w:cs="Times New Roman"/>
                <w:kern w:val="0"/>
                <w:sz w:val="28"/>
                <w:szCs w:val="28"/>
              </w:rPr>
              <w:t>10</w:t>
            </w:r>
            <w:r>
              <w:rPr>
                <w:rFonts w:hint="default" w:ascii="Times New Roman" w:hAnsi="Times New Roman" w:eastAsia="仿宋_GB2312" w:cs="Times New Roman"/>
                <w:kern w:val="0"/>
                <w:sz w:val="28"/>
                <w:szCs w:val="28"/>
                <w:lang w:val="en-US" w:eastAsia="zh-CN"/>
              </w:rPr>
              <w:t>万元</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2</w:t>
            </w:r>
            <w:r>
              <w:rPr>
                <w:rFonts w:hint="default" w:ascii="Times New Roman" w:hAnsi="Times New Roman" w:eastAsia="仿宋_GB2312" w:cs="Times New Roman"/>
                <w:kern w:val="0"/>
                <w:sz w:val="28"/>
                <w:szCs w:val="28"/>
              </w:rPr>
              <w:t>万元的奖励；对入选校级及以上教材项目的编写团队，给予一次性教学工作量奖励。</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jc w:val="left"/>
              <w:textAlignment w:val="auto"/>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六、发挥组织引领作用，全力</w:t>
            </w:r>
            <w:r>
              <w:rPr>
                <w:rFonts w:hint="default" w:ascii="Times New Roman" w:hAnsi="Times New Roman" w:eastAsia="仿宋_GB2312" w:cs="Times New Roman"/>
                <w:b/>
                <w:kern w:val="0"/>
                <w:sz w:val="28"/>
                <w:szCs w:val="28"/>
                <w:lang w:val="en-US" w:eastAsia="zh-CN"/>
              </w:rPr>
              <w:t>谋划</w:t>
            </w:r>
            <w:r>
              <w:rPr>
                <w:rFonts w:hint="default" w:ascii="Times New Roman" w:hAnsi="Times New Roman" w:eastAsia="仿宋_GB2312" w:cs="Times New Roman"/>
                <w:b/>
                <w:kern w:val="0"/>
                <w:sz w:val="28"/>
                <w:szCs w:val="28"/>
              </w:rPr>
              <w:t>浙江省教材建设工作</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kern w:val="0"/>
                <w:sz w:val="28"/>
                <w:szCs w:val="28"/>
              </w:rPr>
            </w:pPr>
            <w:r>
              <w:rPr>
                <w:rFonts w:hint="default" w:ascii="Times New Roman" w:hAnsi="Times New Roman" w:eastAsia="仿宋_GB2312" w:cs="Times New Roman"/>
                <w:kern w:val="0"/>
                <w:sz w:val="28"/>
                <w:szCs w:val="28"/>
              </w:rPr>
              <w:t>长期作为浙江省高教学会教材分会的理事长单位，统筹规划，协同其他会员单位推进浙江省教材建设工作。常态化组织学习与交流教材工作的先进经验，定期举办省级教材工作研讨会，开展教材建设的评奖评优，推进教材相关的调查研究、教学改革等工作。近年来，组织开展了浙江省普通高校“十二五”优秀教材评选工作，共立项509部（套）；连续三年组织开展浙江省高校“十三五”新形态教材建设项目，共立项1261部（套）。</w:t>
            </w: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5EEA36E-4271-4FDF-A120-804AF504BA0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E2BB6ED-83FD-4A43-BE97-7A803C85CA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6DCD8249-7A7C-4C08-A309-787BAB074111}"/>
  </w:font>
  <w:font w:name="华文仿宋">
    <w:altName w:val="仿宋"/>
    <w:panose1 w:val="02010600040101010101"/>
    <w:charset w:val="86"/>
    <w:family w:val="auto"/>
    <w:pitch w:val="default"/>
    <w:sig w:usb0="00000000" w:usb1="00000000" w:usb2="00000010" w:usb3="00000000" w:csb0="0004009F" w:csb1="00000000"/>
    <w:embedRegular r:id="rId4" w:fontKey="{4DDBA25E-EA16-4A98-B0CB-74EC6C5686C9}"/>
  </w:font>
  <w:font w:name="仿宋">
    <w:panose1 w:val="02010609060101010101"/>
    <w:charset w:val="86"/>
    <w:family w:val="modern"/>
    <w:pitch w:val="default"/>
    <w:sig w:usb0="800002BF" w:usb1="38CF7CFA" w:usb2="00000016" w:usb3="00000000" w:csb0="00040001" w:csb1="00000000"/>
    <w:embedRegular r:id="rId5" w:fontKey="{FF422CE6-4CE0-4A1C-852D-D951F16613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8060103"/>
      <w:docPartObj>
        <w:docPartGallery w:val="autotext"/>
      </w:docPartObj>
    </w:sdtPr>
    <w:sdtEndPr>
      <w:rPr>
        <w:rFonts w:ascii="Times New Roman" w:hAnsi="Times New Roman" w:cs="Times New Roman"/>
        <w:sz w:val="24"/>
        <w:szCs w:val="24"/>
      </w:rPr>
    </w:sdtEndPr>
    <w:sdtContent>
      <w:p>
        <w:pPr>
          <w:pStyle w:val="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6</w:t>
        </w:r>
        <w:r>
          <w:rPr>
            <w:rFonts w:ascii="Times New Roman" w:hAnsi="Times New Roman" w:cs="Times New Roman"/>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25"/>
    <w:rsid w:val="00081C30"/>
    <w:rsid w:val="000F0781"/>
    <w:rsid w:val="00141641"/>
    <w:rsid w:val="00195CCE"/>
    <w:rsid w:val="001B267D"/>
    <w:rsid w:val="001F7A25"/>
    <w:rsid w:val="0029005D"/>
    <w:rsid w:val="002968AF"/>
    <w:rsid w:val="00337A92"/>
    <w:rsid w:val="00353C6A"/>
    <w:rsid w:val="00364D3A"/>
    <w:rsid w:val="0038235F"/>
    <w:rsid w:val="00400ADD"/>
    <w:rsid w:val="004525F3"/>
    <w:rsid w:val="00505CF8"/>
    <w:rsid w:val="005B61D4"/>
    <w:rsid w:val="00633975"/>
    <w:rsid w:val="00646D7C"/>
    <w:rsid w:val="00734FA2"/>
    <w:rsid w:val="00742FBC"/>
    <w:rsid w:val="007C5107"/>
    <w:rsid w:val="008872B3"/>
    <w:rsid w:val="00893367"/>
    <w:rsid w:val="00A5783D"/>
    <w:rsid w:val="00AC7FF1"/>
    <w:rsid w:val="00B21144"/>
    <w:rsid w:val="00C420E1"/>
    <w:rsid w:val="00C42FE9"/>
    <w:rsid w:val="00C83062"/>
    <w:rsid w:val="00D90268"/>
    <w:rsid w:val="00DD0CB7"/>
    <w:rsid w:val="00DD52AA"/>
    <w:rsid w:val="00E02419"/>
    <w:rsid w:val="00E17B21"/>
    <w:rsid w:val="00EA3061"/>
    <w:rsid w:val="00F3724F"/>
    <w:rsid w:val="00F840A2"/>
    <w:rsid w:val="00F979DC"/>
    <w:rsid w:val="00FA777E"/>
    <w:rsid w:val="00FF2FC9"/>
    <w:rsid w:val="39E855F6"/>
    <w:rsid w:val="535F4CFF"/>
    <w:rsid w:val="684130E4"/>
    <w:rsid w:val="79F7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qFormat/>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684</Words>
  <Characters>3899</Characters>
  <Lines>32</Lines>
  <Paragraphs>9</Paragraphs>
  <TotalTime>17</TotalTime>
  <ScaleCrop>false</ScaleCrop>
  <LinksUpToDate>false</LinksUpToDate>
  <CharactersWithSpaces>4574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2020-11-27T06:46:00Z</dcterms:created>
  <dc:creator>lsc</dc:creator>
  <cp:lastModifiedBy>顾颖杰</cp:lastModifiedBy>
  <cp:lastPrinted>2020-11-30T01:53:00Z</cp:lastPrinted>
  <dcterms:modified xsi:type="dcterms:W3CDTF">2020-12-01T09:51:33Z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