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986"/>
        <w:gridCol w:w="1421"/>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16" w:type="dxa"/>
            <w:vAlign w:val="top"/>
          </w:tcPr>
          <w:p>
            <w:pPr>
              <w:spacing w:line="520" w:lineRule="exact"/>
              <w:jc w:val="distribute"/>
              <w:rPr>
                <w:rFonts w:ascii="仿宋_GB2312" w:hAnsi="华文仿宋" w:eastAsia="仿宋_GB2312" w:cstheme="minorBidi"/>
                <w:kern w:val="0"/>
                <w:sz w:val="30"/>
                <w:szCs w:val="30"/>
                <w:lang w:val="en-US" w:eastAsia="zh-CN" w:bidi="ar-SA"/>
              </w:rPr>
            </w:pPr>
            <w:r>
              <w:rPr>
                <w:rFonts w:ascii="黑体" w:hAnsi="黑体" w:eastAsia="黑体" w:cs="黑体"/>
                <w:kern w:val="0"/>
                <w:sz w:val="30"/>
                <w:szCs w:val="30"/>
              </w:rPr>
              <w:t>姓名</w:t>
            </w:r>
          </w:p>
        </w:tc>
        <w:tc>
          <w:tcPr>
            <w:tcW w:w="1986" w:type="dxa"/>
            <w:vAlign w:val="top"/>
          </w:tcPr>
          <w:p>
            <w:pPr>
              <w:spacing w:line="520" w:lineRule="exact"/>
              <w:jc w:val="left"/>
              <w:rPr>
                <w:rFonts w:hint="eastAsia" w:ascii="仿宋_GB2312" w:hAnsi="华文仿宋" w:eastAsia="仿宋_GB2312" w:cstheme="minorBidi"/>
                <w:kern w:val="0"/>
                <w:sz w:val="30"/>
                <w:szCs w:val="30"/>
                <w:lang w:val="en-US" w:eastAsia="zh-CN" w:bidi="ar-SA"/>
              </w:rPr>
            </w:pPr>
            <w:r>
              <w:rPr>
                <w:rFonts w:hint="eastAsia" w:ascii="仿宋_GB2312" w:hAnsi="华文仿宋" w:eastAsia="仿宋_GB2312"/>
                <w:kern w:val="0"/>
                <w:sz w:val="30"/>
                <w:szCs w:val="30"/>
              </w:rPr>
              <w:t>王彦广</w:t>
            </w:r>
          </w:p>
        </w:tc>
        <w:tc>
          <w:tcPr>
            <w:tcW w:w="1421" w:type="dxa"/>
            <w:vAlign w:val="top"/>
          </w:tcPr>
          <w:p>
            <w:pPr>
              <w:spacing w:line="520" w:lineRule="exact"/>
              <w:jc w:val="distribute"/>
              <w:rPr>
                <w:rFonts w:hint="default" w:ascii="黑体" w:hAnsi="黑体" w:eastAsia="黑体" w:cs="黑体"/>
                <w:kern w:val="0"/>
                <w:sz w:val="30"/>
                <w:szCs w:val="30"/>
                <w:lang w:val="en-US" w:eastAsia="zh-CN" w:bidi="ar-SA"/>
              </w:rPr>
            </w:pPr>
            <w:r>
              <w:rPr>
                <w:rFonts w:hint="eastAsia" w:ascii="黑体" w:hAnsi="黑体" w:eastAsia="黑体" w:cs="黑体"/>
                <w:kern w:val="0"/>
                <w:sz w:val="30"/>
                <w:szCs w:val="30"/>
                <w:lang w:val="en-US" w:eastAsia="zh-CN" w:bidi="ar-SA"/>
              </w:rPr>
              <w:t>院系</w:t>
            </w:r>
          </w:p>
        </w:tc>
        <w:tc>
          <w:tcPr>
            <w:tcW w:w="3444" w:type="dxa"/>
            <w:vAlign w:val="top"/>
          </w:tcPr>
          <w:p>
            <w:pPr>
              <w:spacing w:line="520" w:lineRule="exact"/>
              <w:jc w:val="left"/>
              <w:rPr>
                <w:rFonts w:hint="eastAsia" w:ascii="仿宋_GB2312" w:hAnsi="华文仿宋" w:eastAsia="仿宋_GB2312" w:cstheme="minorBidi"/>
                <w:kern w:val="0"/>
                <w:sz w:val="30"/>
                <w:szCs w:val="30"/>
                <w:lang w:val="en-US" w:eastAsia="zh-CN" w:bidi="ar-SA"/>
              </w:rPr>
            </w:pPr>
            <w:r>
              <w:rPr>
                <w:rFonts w:hint="eastAsia" w:ascii="仿宋_GB2312" w:hAnsi="华文仿宋" w:eastAsia="仿宋_GB2312"/>
                <w:kern w:val="0"/>
                <w:sz w:val="30"/>
                <w:szCs w:val="30"/>
                <w:lang w:val="en-US" w:eastAsia="zh-CN"/>
              </w:rPr>
              <w:t>化学系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516" w:type="dxa"/>
          </w:tcPr>
          <w:p>
            <w:pPr>
              <w:spacing w:line="520" w:lineRule="exact"/>
              <w:jc w:val="distribute"/>
              <w:rPr>
                <w:rFonts w:ascii="仿宋_GB2312" w:hAnsi="华文仿宋" w:eastAsia="仿宋_GB2312"/>
                <w:kern w:val="0"/>
                <w:sz w:val="30"/>
                <w:szCs w:val="30"/>
              </w:rPr>
            </w:pPr>
            <w:r>
              <w:rPr>
                <w:rFonts w:ascii="黑体" w:hAnsi="黑体" w:eastAsia="黑体" w:cs="黑体"/>
                <w:kern w:val="0"/>
                <w:sz w:val="28"/>
                <w:szCs w:val="30"/>
              </w:rPr>
              <w:t>工作类别</w:t>
            </w:r>
          </w:p>
        </w:tc>
        <w:tc>
          <w:tcPr>
            <w:tcW w:w="6851" w:type="dxa"/>
            <w:gridSpan w:val="3"/>
          </w:tcPr>
          <w:p>
            <w:pPr>
              <w:jc w:val="left"/>
              <w:rPr>
                <w:rFonts w:ascii="仿宋_GB2312" w:hAnsi="华文仿宋" w:eastAsia="仿宋_GB2312"/>
                <w:kern w:val="0"/>
                <w:sz w:val="28"/>
                <w:szCs w:val="30"/>
              </w:rPr>
            </w:pPr>
            <w:r>
              <w:rPr>
                <w:rFonts w:ascii="仿宋_GB2312" w:hAnsi="华文仿宋" w:eastAsia="仿宋_GB2312"/>
                <w:kern w:val="0"/>
                <w:sz w:val="28"/>
                <w:szCs w:val="30"/>
              </w:rPr>
              <w:sym w:font="Wingdings" w:char="00A8"/>
            </w:r>
            <w:r>
              <w:rPr>
                <w:rFonts w:ascii="仿宋_GB2312" w:hAnsi="华文仿宋" w:eastAsia="仿宋_GB2312"/>
                <w:kern w:val="0"/>
                <w:sz w:val="28"/>
                <w:szCs w:val="30"/>
              </w:rPr>
              <w:t xml:space="preserve">教材研究       </w:t>
            </w:r>
            <w:r>
              <w:rPr>
                <w:rFonts w:hint="eastAsia" w:asciiTheme="minorEastAsia" w:hAnsiTheme="minorEastAsia"/>
                <w:kern w:val="0"/>
                <w:sz w:val="28"/>
                <w:szCs w:val="28"/>
              </w:rPr>
              <w:t>■</w:t>
            </w:r>
            <w:r>
              <w:rPr>
                <w:rFonts w:ascii="仿宋_GB2312" w:hAnsi="华文仿宋" w:eastAsia="仿宋_GB2312"/>
                <w:kern w:val="0"/>
                <w:sz w:val="28"/>
                <w:szCs w:val="30"/>
              </w:rPr>
              <w:t xml:space="preserve">教材编写        </w:t>
            </w:r>
            <w:r>
              <w:rPr>
                <w:rFonts w:ascii="仿宋_GB2312" w:hAnsi="华文仿宋" w:eastAsia="仿宋_GB2312"/>
                <w:kern w:val="0"/>
                <w:sz w:val="28"/>
                <w:szCs w:val="30"/>
              </w:rPr>
              <w:sym w:font="Wingdings" w:char="00A8"/>
            </w:r>
            <w:r>
              <w:rPr>
                <w:rFonts w:ascii="仿宋_GB2312" w:hAnsi="华文仿宋" w:eastAsia="仿宋_GB2312"/>
                <w:kern w:val="0"/>
                <w:sz w:val="28"/>
                <w:szCs w:val="30"/>
              </w:rPr>
              <w:t>教材审核</w:t>
            </w:r>
          </w:p>
          <w:p>
            <w:pPr>
              <w:spacing w:line="520" w:lineRule="exact"/>
              <w:jc w:val="left"/>
              <w:rPr>
                <w:rFonts w:ascii="仿宋_GB2312" w:hAnsi="华文仿宋" w:eastAsia="仿宋_GB2312"/>
                <w:kern w:val="0"/>
                <w:sz w:val="30"/>
                <w:szCs w:val="30"/>
              </w:rPr>
            </w:pPr>
            <w:r>
              <w:rPr>
                <w:rFonts w:ascii="仿宋_GB2312" w:hAnsi="华文仿宋" w:eastAsia="仿宋_GB2312"/>
                <w:kern w:val="0"/>
                <w:sz w:val="28"/>
                <w:szCs w:val="30"/>
              </w:rPr>
              <w:sym w:font="Wingdings" w:char="00A8"/>
            </w:r>
            <w:r>
              <w:rPr>
                <w:rFonts w:ascii="仿宋_GB2312" w:hAnsi="华文仿宋" w:eastAsia="仿宋_GB2312"/>
                <w:kern w:val="0"/>
                <w:sz w:val="28"/>
                <w:szCs w:val="30"/>
              </w:rPr>
              <w:t xml:space="preserve">教材出版发行   </w:t>
            </w:r>
            <w:r>
              <w:rPr>
                <w:rFonts w:ascii="仿宋_GB2312" w:hAnsi="华文仿宋" w:eastAsia="仿宋_GB2312"/>
                <w:kern w:val="0"/>
                <w:sz w:val="28"/>
                <w:szCs w:val="30"/>
              </w:rPr>
              <w:sym w:font="Wingdings" w:char="00A8"/>
            </w:r>
            <w:r>
              <w:rPr>
                <w:rFonts w:ascii="仿宋_GB2312" w:hAnsi="华文仿宋" w:eastAsia="仿宋_GB2312"/>
                <w:kern w:val="0"/>
                <w:sz w:val="28"/>
                <w:szCs w:val="30"/>
              </w:rPr>
              <w:t>教材管理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67" w:type="dxa"/>
            <w:gridSpan w:val="4"/>
          </w:tcPr>
          <w:p>
            <w:pPr>
              <w:spacing w:before="156" w:beforeLines="50" w:after="156" w:afterLines="50" w:line="360" w:lineRule="auto"/>
              <w:jc w:val="left"/>
              <w:rPr>
                <w:rFonts w:hint="eastAsia" w:cs="微软雅黑" w:asciiTheme="majorEastAsia" w:hAnsiTheme="majorEastAsia" w:eastAsiaTheme="majorEastAsia"/>
                <w:kern w:val="0"/>
                <w:sz w:val="24"/>
                <w:szCs w:val="24"/>
              </w:rPr>
            </w:pPr>
            <w:r>
              <w:rPr>
                <w:rFonts w:ascii="黑体" w:hAnsi="黑体" w:eastAsia="黑体" w:cs="黑体"/>
                <w:kern w:val="0"/>
                <w:sz w:val="30"/>
                <w:szCs w:val="30"/>
              </w:rPr>
              <w:t>主要先进事迹（</w:t>
            </w:r>
            <w:r>
              <w:rPr>
                <w:rFonts w:hint="eastAsia" w:ascii="黑体" w:hAnsi="黑体" w:eastAsia="黑体" w:cs="黑体"/>
                <w:kern w:val="0"/>
                <w:sz w:val="30"/>
                <w:szCs w:val="30"/>
              </w:rPr>
              <w:t>不超过</w:t>
            </w:r>
            <w:r>
              <w:rPr>
                <w:rFonts w:ascii="黑体" w:hAnsi="黑体" w:eastAsia="黑体" w:cs="黑体"/>
                <w:kern w:val="0"/>
                <w:sz w:val="30"/>
                <w:szCs w:val="30"/>
              </w:rPr>
              <w:t>2000字）</w:t>
            </w:r>
          </w:p>
          <w:p>
            <w:pPr>
              <w:spacing w:before="156" w:beforeLines="50" w:after="156" w:afterLines="50" w:line="360" w:lineRule="auto"/>
              <w:ind w:firstLine="480" w:firstLineChars="200"/>
              <w:jc w:val="left"/>
              <w:rPr>
                <w:rFonts w:hint="eastAsia" w:cs="微软雅黑" w:asciiTheme="majorEastAsia" w:hAnsiTheme="majorEastAsia" w:eastAsiaTheme="majorEastAsia"/>
                <w:kern w:val="0"/>
                <w:sz w:val="24"/>
                <w:szCs w:val="24"/>
              </w:rPr>
            </w:pPr>
            <w:r>
              <w:rPr>
                <w:rFonts w:hint="eastAsia" w:cs="微软雅黑" w:asciiTheme="majorEastAsia" w:hAnsiTheme="majorEastAsia" w:eastAsiaTheme="majorEastAsia"/>
                <w:kern w:val="0"/>
                <w:sz w:val="24"/>
                <w:szCs w:val="24"/>
              </w:rPr>
              <w:t>申报人王彦广教授执教三十余年，他政治立场坚定，热爱教育事业，教学和教材编写经验丰富，在国家级规划建材、国家级教学团队和精品课程建设方面做出了重要贡献。在教材建设方面的主要先进事迹如下。</w:t>
            </w:r>
          </w:p>
          <w:p>
            <w:pPr>
              <w:spacing w:before="156" w:beforeLines="50" w:after="156" w:afterLines="50" w:line="360" w:lineRule="auto"/>
              <w:ind w:firstLine="480" w:firstLineChars="200"/>
              <w:jc w:val="left"/>
              <w:rPr>
                <w:rFonts w:hint="eastAsia" w:cs="微软雅黑" w:asciiTheme="majorEastAsia" w:hAnsiTheme="majorEastAsia" w:eastAsiaTheme="majorEastAsia"/>
                <w:b/>
                <w:bCs/>
                <w:kern w:val="0"/>
                <w:sz w:val="24"/>
                <w:szCs w:val="24"/>
              </w:rPr>
            </w:pPr>
            <w:r>
              <w:rPr>
                <w:rFonts w:hint="eastAsia" w:cs="微软雅黑" w:asciiTheme="majorEastAsia" w:hAnsiTheme="majorEastAsia" w:eastAsiaTheme="majorEastAsia"/>
                <w:b/>
                <w:bCs/>
                <w:kern w:val="0"/>
                <w:sz w:val="24"/>
                <w:szCs w:val="24"/>
              </w:rPr>
              <w:t>1、通识课程</w:t>
            </w:r>
            <w:bookmarkStart w:id="0" w:name="_GoBack"/>
            <w:bookmarkEnd w:id="0"/>
            <w:r>
              <w:rPr>
                <w:rFonts w:hint="eastAsia" w:cs="微软雅黑" w:asciiTheme="majorEastAsia" w:hAnsiTheme="majorEastAsia" w:eastAsiaTheme="majorEastAsia"/>
                <w:b/>
                <w:bCs/>
                <w:kern w:val="0"/>
                <w:sz w:val="24"/>
                <w:szCs w:val="24"/>
              </w:rPr>
              <w:t>教材《化学与人类文明》编写事迹</w:t>
            </w:r>
          </w:p>
          <w:p>
            <w:pPr>
              <w:spacing w:before="156" w:beforeLines="50" w:after="156" w:afterLines="50" w:line="360" w:lineRule="auto"/>
              <w:ind w:firstLine="480" w:firstLineChars="200"/>
              <w:jc w:val="left"/>
              <w:rPr>
                <w:rFonts w:hint="eastAsia" w:cs="微软雅黑" w:asciiTheme="majorEastAsia" w:hAnsiTheme="majorEastAsia" w:eastAsiaTheme="majorEastAsia"/>
                <w:kern w:val="0"/>
                <w:sz w:val="24"/>
                <w:szCs w:val="24"/>
              </w:rPr>
            </w:pPr>
            <w:r>
              <w:rPr>
                <w:rFonts w:hint="eastAsia" w:cs="微软雅黑" w:asciiTheme="majorEastAsia" w:hAnsiTheme="majorEastAsia" w:eastAsiaTheme="majorEastAsia"/>
                <w:kern w:val="0"/>
                <w:sz w:val="24"/>
                <w:szCs w:val="24"/>
              </w:rPr>
              <w:t>二十世纪九十年代末，为培养本科生科学与人文素养，申报人与浙江大学物理、数学等学科的教师一起，开设了“科学与人类文明”系列通识课程，并领衔主讲“化学与人类文明”课程，开展课程建设，组织编写教材。2001年主编出版了“科学与人类文明”丛书之一的《化学与人类文明》教材（浙江大学出版社出版）。此后，在多年教学实践的基础上不断对其修订完善，分别于2010年和2016年出版了第二版和第三版教材。该教材先后入选普通高等教育“十一五”国家级规划教材、“十二五”普通高等教育本科国家级规划教材，并被教育部评为“精品教材”。“科学与人类文明”系列通识课程的开设，为培养本科生（特别是文科学生）的科学与人文素养发挥了重要作用，在我国发挥了较大示范辐射作用。2018年，包括申报人在内的浙江大学数、理、化三个学科4位教授合作完成的“旨在培养学生科学与人文素养的“科学与人类文明”系列通识课程建设与教学实践”项目获得了国家级教学成果奖二等奖。</w:t>
            </w:r>
          </w:p>
          <w:p>
            <w:pPr>
              <w:spacing w:before="156" w:beforeLines="50" w:after="156" w:afterLines="50" w:line="360" w:lineRule="auto"/>
              <w:ind w:firstLine="480" w:firstLineChars="200"/>
              <w:jc w:val="left"/>
              <w:rPr>
                <w:rFonts w:hint="eastAsia" w:cs="微软雅黑" w:asciiTheme="majorEastAsia" w:hAnsiTheme="majorEastAsia" w:eastAsiaTheme="majorEastAsia"/>
                <w:kern w:val="0"/>
                <w:sz w:val="24"/>
                <w:szCs w:val="24"/>
              </w:rPr>
            </w:pPr>
            <w:r>
              <w:rPr>
                <w:rFonts w:hint="eastAsia" w:cs="微软雅黑" w:asciiTheme="majorEastAsia" w:hAnsiTheme="majorEastAsia" w:eastAsiaTheme="majorEastAsia"/>
                <w:b/>
                <w:bCs/>
                <w:kern w:val="0"/>
                <w:sz w:val="24"/>
                <w:szCs w:val="24"/>
              </w:rPr>
              <w:t>2、有机化学课程系列教材编写事迹</w:t>
            </w:r>
          </w:p>
          <w:p>
            <w:pPr>
              <w:spacing w:before="156" w:beforeLines="50" w:after="156" w:afterLines="50" w:line="360" w:lineRule="auto"/>
              <w:ind w:firstLine="480" w:firstLineChars="200"/>
              <w:jc w:val="left"/>
              <w:rPr>
                <w:rFonts w:hint="eastAsia" w:cs="微软雅黑" w:asciiTheme="majorEastAsia" w:hAnsiTheme="majorEastAsia" w:eastAsiaTheme="majorEastAsia"/>
                <w:kern w:val="0"/>
                <w:sz w:val="24"/>
                <w:szCs w:val="24"/>
              </w:rPr>
            </w:pPr>
            <w:r>
              <w:rPr>
                <w:rFonts w:hint="eastAsia" w:cs="微软雅黑" w:asciiTheme="majorEastAsia" w:hAnsiTheme="majorEastAsia" w:eastAsiaTheme="majorEastAsia"/>
                <w:kern w:val="0"/>
                <w:sz w:val="24"/>
                <w:szCs w:val="24"/>
              </w:rPr>
              <w:t xml:space="preserve"> 有机化学课程是高等学校化学类专业本科生的专业必修课程（核心课程），也是材料、化工、生物、医学、药学、农学、环境等专业的专业基础课程（全校性公共课）。二十世纪初，虽随着化学学科的快速发展以及化学教育、教学改革的深入开展，有机化学课程的知识体系、教学内容和教材的更新成为当时有机化学课程教学所面临的迫切任务。申报人自2002年起，组织开展教学改革、教材编写和教学团队建设，与浙江大学有机化学教学团队的核心与骨干教师一起开展了以结构理论为引导的三阶段模块化有机化学课程改革与实践。在理论体系、知识体系和教学内容改革的基础上，于2004年主编出版了《有机化学》第一版教材（化学工业出版社出版）。此后，在教学实践的基础上进一步修订完善，先后出版了第二版（2008年）、第三版（2015年）和第四版（2020年）教材。新近出版的《有机化学》第四版教材不仅内容、体系新颖，而且采用了新型态教材模式，提供了许多短视频、阅读资料等电子材料，便于学生深度学习；此外，新版教材还开设了作者与读者线上互动的交流平台，为提高教学质量奠定了基础。</w:t>
            </w:r>
          </w:p>
          <w:p>
            <w:pPr>
              <w:spacing w:before="156" w:beforeLines="50" w:after="156" w:afterLines="50" w:line="360" w:lineRule="auto"/>
              <w:ind w:firstLine="480" w:firstLineChars="200"/>
              <w:jc w:val="left"/>
              <w:rPr>
                <w:rFonts w:hint="eastAsia" w:cs="微软雅黑" w:asciiTheme="majorEastAsia" w:hAnsiTheme="majorEastAsia" w:eastAsiaTheme="majorEastAsia"/>
                <w:kern w:val="0"/>
                <w:sz w:val="24"/>
                <w:szCs w:val="24"/>
              </w:rPr>
            </w:pPr>
            <w:r>
              <w:rPr>
                <w:rFonts w:hint="eastAsia" w:cs="微软雅黑" w:asciiTheme="majorEastAsia" w:hAnsiTheme="majorEastAsia" w:eastAsiaTheme="majorEastAsia"/>
                <w:kern w:val="0"/>
                <w:sz w:val="24"/>
                <w:szCs w:val="24"/>
              </w:rPr>
              <w:t>为更好地满足“三阶段模块化”有机化学课程方案的实施，申报人还先后编著出版了《有机化学——反应与机理》（高教出版社出版，2015年）和《新编有机合成化学》（化学工业出版社出版，2002年）2部教材和参考书。</w:t>
            </w:r>
          </w:p>
          <w:p>
            <w:pPr>
              <w:spacing w:before="156" w:beforeLines="50" w:after="156" w:afterLines="50" w:line="360" w:lineRule="auto"/>
              <w:ind w:firstLine="480" w:firstLineChars="200"/>
              <w:jc w:val="left"/>
              <w:rPr>
                <w:rFonts w:hint="eastAsia" w:cs="微软雅黑" w:asciiTheme="majorEastAsia" w:hAnsiTheme="majorEastAsia" w:eastAsiaTheme="majorEastAsia"/>
                <w:kern w:val="0"/>
                <w:sz w:val="24"/>
                <w:szCs w:val="24"/>
              </w:rPr>
            </w:pPr>
            <w:r>
              <w:rPr>
                <w:rFonts w:hint="eastAsia" w:cs="微软雅黑" w:asciiTheme="majorEastAsia" w:hAnsiTheme="majorEastAsia" w:eastAsiaTheme="majorEastAsia"/>
                <w:kern w:val="0"/>
                <w:sz w:val="24"/>
                <w:szCs w:val="24"/>
              </w:rPr>
              <w:t xml:space="preserve"> 申报人主编出版的《有机化学》教材先后入选普通高等教育“十一五”国家级规划教材、“十二五”普通高等教育本科国家级规划教材；《有机化学》（第二版）曾获2010年中国石油和化学工业优秀出版物奖（教材奖）一等奖。</w:t>
            </w:r>
          </w:p>
          <w:p>
            <w:pPr>
              <w:spacing w:before="156" w:beforeLines="50" w:after="156" w:afterLines="50" w:line="360" w:lineRule="auto"/>
              <w:ind w:firstLine="480" w:firstLineChars="200"/>
              <w:jc w:val="left"/>
              <w:rPr>
                <w:rFonts w:hint="eastAsia" w:cs="微软雅黑" w:asciiTheme="majorEastAsia" w:hAnsiTheme="majorEastAsia" w:eastAsiaTheme="majorEastAsia"/>
                <w:kern w:val="0"/>
                <w:sz w:val="24"/>
                <w:szCs w:val="24"/>
              </w:rPr>
            </w:pPr>
            <w:r>
              <w:rPr>
                <w:rFonts w:hint="eastAsia" w:cs="微软雅黑" w:asciiTheme="majorEastAsia" w:hAnsiTheme="majorEastAsia" w:eastAsiaTheme="majorEastAsia"/>
                <w:kern w:val="0"/>
                <w:sz w:val="24"/>
                <w:szCs w:val="24"/>
              </w:rPr>
              <w:t>2014年，由申报人主持的“结构理论引导的三阶段模块化有机化学课程改革与实践”项目获得了浙江省教学成果奖一等奖。在此项目的执行过程中，申报人领衔的化学专业基础课程教学团队于2008年被评为“国家级教学团队”（教育部质量工程项目，主持人），有机化学课程在2006年被评为“国家级精品课程”（教育部质量工程项目，核心成员）。</w:t>
            </w:r>
          </w:p>
          <w:p>
            <w:pPr>
              <w:spacing w:line="480" w:lineRule="exact"/>
              <w:jc w:val="left"/>
              <w:rPr>
                <w:rFonts w:hint="eastAsia" w:ascii="仿宋_GB2312" w:hAnsi="华文仿宋" w:eastAsia="仿宋_GB2312"/>
                <w:kern w:val="0"/>
                <w:sz w:val="28"/>
                <w:szCs w:val="28"/>
              </w:rPr>
            </w:pPr>
            <w:r>
              <w:rPr>
                <w:rFonts w:hint="eastAsia" w:cs="微软雅黑" w:asciiTheme="majorEastAsia" w:hAnsiTheme="majorEastAsia" w:eastAsiaTheme="majorEastAsia"/>
                <w:kern w:val="0"/>
                <w:sz w:val="24"/>
                <w:szCs w:val="24"/>
              </w:rPr>
              <w:t>鉴于王彦广教授在本科教学、教材建设方面的突出贡献，他曾获得了国务院政府特殊津贴（自然科学教学类）、宝钢优秀教师奖、全国教育系统职业道德建设标兵、浙江省高等学校教学名师奖等荣誉。</w:t>
            </w:r>
          </w:p>
        </w:tc>
      </w:tr>
    </w:tbl>
    <w:p/>
    <w:sectPr>
      <w:footerReference r:id="rId3" w:type="default"/>
      <w:pgSz w:w="11906" w:h="16838"/>
      <w:pgMar w:top="1440" w:right="1797" w:bottom="1440" w:left="1797"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890468"/>
      <w:docPartObj>
        <w:docPartGallery w:val="autotext"/>
      </w:docPartObj>
    </w:sdtPr>
    <w:sdtContent>
      <w:p>
        <w:pPr>
          <w:pStyle w:val="2"/>
          <w:jc w:val="cente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5</w:t>
        </w:r>
        <w:r>
          <w:rPr>
            <w:rFonts w:ascii="Times New Roman" w:hAnsi="Times New Roman" w:cs="Times New Roman"/>
            <w:sz w:val="21"/>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8AD"/>
    <w:rsid w:val="000130DC"/>
    <w:rsid w:val="000429C2"/>
    <w:rsid w:val="000A1577"/>
    <w:rsid w:val="000B4392"/>
    <w:rsid w:val="000C092F"/>
    <w:rsid w:val="000D00B8"/>
    <w:rsid w:val="000E124A"/>
    <w:rsid w:val="00117B4B"/>
    <w:rsid w:val="0013356E"/>
    <w:rsid w:val="00133768"/>
    <w:rsid w:val="001368FA"/>
    <w:rsid w:val="001461D6"/>
    <w:rsid w:val="00167546"/>
    <w:rsid w:val="001A1AD0"/>
    <w:rsid w:val="001A67BF"/>
    <w:rsid w:val="001B35B0"/>
    <w:rsid w:val="001C4FD7"/>
    <w:rsid w:val="00221713"/>
    <w:rsid w:val="0022396C"/>
    <w:rsid w:val="002B1034"/>
    <w:rsid w:val="002F77A2"/>
    <w:rsid w:val="00342F96"/>
    <w:rsid w:val="00351ECE"/>
    <w:rsid w:val="00380058"/>
    <w:rsid w:val="003A2405"/>
    <w:rsid w:val="003B6E91"/>
    <w:rsid w:val="00407980"/>
    <w:rsid w:val="00424F74"/>
    <w:rsid w:val="004671B9"/>
    <w:rsid w:val="00470E62"/>
    <w:rsid w:val="00471F96"/>
    <w:rsid w:val="004A7F33"/>
    <w:rsid w:val="0053280A"/>
    <w:rsid w:val="005760A2"/>
    <w:rsid w:val="005B2BFF"/>
    <w:rsid w:val="00603116"/>
    <w:rsid w:val="0061339E"/>
    <w:rsid w:val="00624E45"/>
    <w:rsid w:val="0064003A"/>
    <w:rsid w:val="006520C2"/>
    <w:rsid w:val="006863F7"/>
    <w:rsid w:val="006920D0"/>
    <w:rsid w:val="00695D4A"/>
    <w:rsid w:val="006B7692"/>
    <w:rsid w:val="00734FA2"/>
    <w:rsid w:val="00770E75"/>
    <w:rsid w:val="007D1D1F"/>
    <w:rsid w:val="007E28AD"/>
    <w:rsid w:val="0080703D"/>
    <w:rsid w:val="008235BB"/>
    <w:rsid w:val="0084244E"/>
    <w:rsid w:val="00853DF7"/>
    <w:rsid w:val="0086042F"/>
    <w:rsid w:val="00862AF8"/>
    <w:rsid w:val="00896FA6"/>
    <w:rsid w:val="008A1131"/>
    <w:rsid w:val="008B3820"/>
    <w:rsid w:val="008E097C"/>
    <w:rsid w:val="008F3794"/>
    <w:rsid w:val="00914BEB"/>
    <w:rsid w:val="00950919"/>
    <w:rsid w:val="009A3ED2"/>
    <w:rsid w:val="00A00988"/>
    <w:rsid w:val="00A23655"/>
    <w:rsid w:val="00A32521"/>
    <w:rsid w:val="00A92A47"/>
    <w:rsid w:val="00A9621F"/>
    <w:rsid w:val="00AA44B6"/>
    <w:rsid w:val="00AB2A4D"/>
    <w:rsid w:val="00B0377A"/>
    <w:rsid w:val="00B17274"/>
    <w:rsid w:val="00B627C6"/>
    <w:rsid w:val="00B63EB2"/>
    <w:rsid w:val="00B83188"/>
    <w:rsid w:val="00BA5413"/>
    <w:rsid w:val="00BC0133"/>
    <w:rsid w:val="00BD6D53"/>
    <w:rsid w:val="00C06D9F"/>
    <w:rsid w:val="00C0732F"/>
    <w:rsid w:val="00C44F76"/>
    <w:rsid w:val="00C51BD6"/>
    <w:rsid w:val="00C52ED1"/>
    <w:rsid w:val="00C73EAB"/>
    <w:rsid w:val="00C76483"/>
    <w:rsid w:val="00CC1601"/>
    <w:rsid w:val="00CE6CC1"/>
    <w:rsid w:val="00CE7B62"/>
    <w:rsid w:val="00D136B5"/>
    <w:rsid w:val="00D37BD4"/>
    <w:rsid w:val="00D412A0"/>
    <w:rsid w:val="00E1283C"/>
    <w:rsid w:val="00E20CB1"/>
    <w:rsid w:val="00E40A98"/>
    <w:rsid w:val="00E57F7C"/>
    <w:rsid w:val="00E73952"/>
    <w:rsid w:val="00E86C2D"/>
    <w:rsid w:val="00E95DD7"/>
    <w:rsid w:val="00EA4A02"/>
    <w:rsid w:val="00EA728C"/>
    <w:rsid w:val="00EF560E"/>
    <w:rsid w:val="00F45898"/>
    <w:rsid w:val="00F528CA"/>
    <w:rsid w:val="00F528CF"/>
    <w:rsid w:val="00F6111B"/>
    <w:rsid w:val="00F93FA5"/>
    <w:rsid w:val="00FC2438"/>
    <w:rsid w:val="1908394A"/>
    <w:rsid w:val="4A541479"/>
    <w:rsid w:val="7A7A2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qFormat/>
    <w:uiPriority w:val="99"/>
    <w:rPr>
      <w:sz w:val="18"/>
      <w:szCs w:val="18"/>
    </w:rPr>
  </w:style>
  <w:style w:type="character" w:customStyle="1" w:styleId="8">
    <w:name w:val="页眉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687</Words>
  <Characters>3917</Characters>
  <Lines>32</Lines>
  <Paragraphs>9</Paragraphs>
  <TotalTime>4</TotalTime>
  <ScaleCrop>false</ScaleCrop>
  <LinksUpToDate>false</LinksUpToDate>
  <CharactersWithSpaces>4595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2020-11-04T04:28:00Z</dcterms:created>
  <dc:creator>lsc</dc:creator>
  <cp:lastModifiedBy>顾颖杰</cp:lastModifiedBy>
  <cp:lastPrinted>2020-11-30T01:32:00Z</cp:lastPrinted>
  <dcterms:modified xsi:type="dcterms:W3CDTF">2020-12-01T07:49:22Z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