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28" w:rsidRPr="00B04528" w:rsidRDefault="00CD1106" w:rsidP="004E37A5">
      <w:pPr>
        <w:widowControl/>
        <w:spacing w:before="100" w:beforeAutospacing="1"/>
        <w:jc w:val="left"/>
        <w:rPr>
          <w:rFonts w:ascii="宋体" w:eastAsia="宋体" w:hAnsi="宋体" w:cs="宋体" w:hint="eastAsia"/>
          <w:kern w:val="0"/>
          <w:sz w:val="24"/>
          <w:szCs w:val="24"/>
        </w:rPr>
      </w:pPr>
      <w:r>
        <w:rPr>
          <w:rFonts w:ascii="仿宋_GB2312" w:eastAsia="仿宋_GB2312" w:hAnsi="宋体" w:cs="宋体" w:hint="eastAsia"/>
          <w:b/>
          <w:bCs/>
          <w:kern w:val="0"/>
          <w:sz w:val="27"/>
          <w:szCs w:val="27"/>
        </w:rPr>
        <w:t>附件1：</w:t>
      </w:r>
      <w:r w:rsidRPr="00F726C1">
        <w:rPr>
          <w:rFonts w:ascii="仿宋_GB2312" w:eastAsia="仿宋_GB2312" w:hint="eastAsia"/>
          <w:sz w:val="32"/>
          <w:szCs w:val="32"/>
        </w:rPr>
        <w:t>2020年度一流本科专业综合改革项目（含培育项目）</w:t>
      </w:r>
      <w:bookmarkStart w:id="0" w:name="_GoBack"/>
      <w:bookmarkEnd w:id="0"/>
    </w:p>
    <w:tbl>
      <w:tblPr>
        <w:tblW w:w="9845" w:type="dxa"/>
        <w:tblCellSpacing w:w="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701"/>
        <w:gridCol w:w="3255"/>
        <w:gridCol w:w="956"/>
        <w:gridCol w:w="1034"/>
        <w:gridCol w:w="2190"/>
      </w:tblGrid>
      <w:tr w:rsidR="004E37A5" w:rsidRPr="00B04528" w:rsidTr="004E79D5">
        <w:trPr>
          <w:trHeight w:val="540"/>
          <w:tblCellSpacing w:w="0" w:type="dxa"/>
        </w:trPr>
        <w:tc>
          <w:tcPr>
            <w:tcW w:w="9845" w:type="dxa"/>
            <w:gridSpan w:val="6"/>
            <w:shd w:val="clear" w:color="auto" w:fill="FFFFFF"/>
            <w:vAlign w:val="center"/>
          </w:tcPr>
          <w:p w:rsidR="004E37A5" w:rsidRPr="00B04528" w:rsidRDefault="004E37A5" w:rsidP="00B04528">
            <w:pPr>
              <w:widowControl/>
              <w:spacing w:before="100" w:beforeAutospacing="1" w:after="100" w:afterAutospacing="1"/>
              <w:jc w:val="center"/>
              <w:rPr>
                <w:rFonts w:ascii="黑体" w:eastAsia="黑体" w:hAnsi="黑体" w:cs="宋体" w:hint="eastAsia"/>
                <w:color w:val="000000"/>
                <w:kern w:val="0"/>
                <w:sz w:val="24"/>
                <w:szCs w:val="24"/>
              </w:rPr>
            </w:pPr>
            <w:r w:rsidRPr="00B04528">
              <w:rPr>
                <w:rFonts w:ascii="仿宋_GB2312" w:eastAsia="仿宋_GB2312" w:hAnsi="宋体" w:cs="宋体" w:hint="eastAsia"/>
                <w:b/>
                <w:bCs/>
                <w:kern w:val="0"/>
                <w:sz w:val="27"/>
                <w:szCs w:val="27"/>
              </w:rPr>
              <w:t>2020年浙江大学一流本科专业综合改革项目</w:t>
            </w:r>
          </w:p>
        </w:tc>
      </w:tr>
      <w:tr w:rsidR="00B04528" w:rsidRPr="00B04528" w:rsidTr="00C960D2">
        <w:trPr>
          <w:trHeight w:val="540"/>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序号</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学院（系）</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项目名称</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项目类别</w:t>
            </w:r>
          </w:p>
        </w:tc>
        <w:tc>
          <w:tcPr>
            <w:tcW w:w="1034" w:type="dxa"/>
            <w:shd w:val="clear" w:color="auto" w:fill="FFFFFF"/>
            <w:vAlign w:val="center"/>
            <w:hideMark/>
          </w:tcPr>
          <w:p w:rsidR="00B04528" w:rsidRPr="00B04528" w:rsidRDefault="00B04528" w:rsidP="00B04528">
            <w:pPr>
              <w:widowControl/>
              <w:spacing w:before="100" w:before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w:t>
            </w:r>
          </w:p>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负责人</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主要团队成员</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外语学院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全人教育的复合型英语专业人才培养研究</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现有专业升级改造</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程工</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方凡、程乐、寿似琛、孙艳萍、朱晔</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2</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传媒学院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color w:val="000000"/>
                <w:kern w:val="0"/>
                <w:sz w:val="24"/>
                <w:szCs w:val="24"/>
              </w:rPr>
              <w:t>“</w:t>
            </w:r>
            <w:r w:rsidRPr="00B04528">
              <w:rPr>
                <w:rFonts w:ascii="仿宋_GB2312" w:eastAsia="仿宋_GB2312" w:hAnsi="宋体" w:cs="宋体" w:hint="eastAsia"/>
                <w:color w:val="000000"/>
                <w:kern w:val="0"/>
                <w:sz w:val="24"/>
                <w:szCs w:val="24"/>
              </w:rPr>
              <w:t>智媒”时代新闻学专业综合改革方案</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现有专业升级改造</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韦路</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沈爱国、朱菁、吴</w:t>
            </w:r>
            <w:r w:rsidRPr="00B04528">
              <w:rPr>
                <w:rFonts w:ascii="微软雅黑" w:eastAsia="微软雅黑" w:hAnsi="微软雅黑" w:cs="宋体" w:hint="eastAsia"/>
                <w:kern w:val="0"/>
                <w:sz w:val="24"/>
                <w:szCs w:val="24"/>
              </w:rPr>
              <w:t>赟</w:t>
            </w:r>
            <w:r w:rsidRPr="00B04528">
              <w:rPr>
                <w:rFonts w:ascii="仿宋_GB2312" w:eastAsia="仿宋_GB2312" w:hAnsi="宋体" w:cs="宋体" w:hint="eastAsia"/>
                <w:kern w:val="0"/>
                <w:sz w:val="24"/>
                <w:szCs w:val="24"/>
              </w:rPr>
              <w:t>、李红涛、洪宇</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3</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艺术与考古学院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color w:val="000000"/>
                <w:kern w:val="0"/>
                <w:sz w:val="24"/>
                <w:szCs w:val="24"/>
              </w:rPr>
              <w:t>“</w:t>
            </w:r>
            <w:r w:rsidRPr="00B04528">
              <w:rPr>
                <w:rFonts w:ascii="仿宋_GB2312" w:eastAsia="仿宋_GB2312" w:hAnsi="宋体" w:cs="宋体" w:hint="eastAsia"/>
                <w:color w:val="000000"/>
                <w:kern w:val="0"/>
                <w:sz w:val="24"/>
                <w:szCs w:val="24"/>
              </w:rPr>
              <w:t>艺术与科技”特设专业建设计划</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新专业建设</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王小松</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沈华清、李承华、陈健、胡小军、罗仕鉴</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4</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管理学院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left"/>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工商管理菁英班：建设“创新型、领导型”人才培养的样板专业</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现有专业升级改造</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王颂</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魏江、汪蕾、邢以群、潘健、林珊珊</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5</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化学系</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3"/>
                <w:szCs w:val="23"/>
              </w:rPr>
              <w:t>以培养拔尖创新人才为导向的科教融合式化学实验课程体系改革与建设</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课程体系优化</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林旭锋</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王鹏、李宁、方文军、王从敏、刘占祥</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6</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电气学院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 xml:space="preserve">新时代背景下电气工程及其自动化专业的改造升级与创新实践 </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现有专业升级改造</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郑太英</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齐冬莲、沈建新、董树锋、辛焕海、黄晓艳</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7</w:t>
            </w:r>
          </w:p>
        </w:tc>
        <w:tc>
          <w:tcPr>
            <w:tcW w:w="1701" w:type="dxa"/>
            <w:shd w:val="clear" w:color="auto" w:fill="FFFFFF"/>
            <w:vAlign w:val="center"/>
            <w:hideMark/>
          </w:tcPr>
          <w:p w:rsidR="00B04528" w:rsidRPr="00B04528" w:rsidRDefault="00B04528" w:rsidP="00B04528">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航空航天</w:t>
            </w:r>
          </w:p>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学院</w:t>
            </w:r>
          </w:p>
        </w:tc>
        <w:tc>
          <w:tcPr>
            <w:tcW w:w="0" w:type="auto"/>
            <w:shd w:val="clear" w:color="auto" w:fill="FFFFFF"/>
            <w:vAlign w:val="center"/>
            <w:hideMark/>
          </w:tcPr>
          <w:p w:rsidR="00B04528" w:rsidRPr="00B04528" w:rsidRDefault="00B04528" w:rsidP="00C960D2">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多维度一流工程科学创新实践育人平台建设</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培养模式创新</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曲绍兴</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赵沛、李振华、钱劲、王惠明、王永</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8</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计算机学院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重大需求导向与原始创新驱动的信息安全本科专业人才培养</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培养模式创新</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任奎</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韩劲松、常瑞、卜凯</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9</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生仪学院</w:t>
            </w:r>
          </w:p>
        </w:tc>
        <w:tc>
          <w:tcPr>
            <w:tcW w:w="0" w:type="auto"/>
            <w:shd w:val="clear" w:color="auto" w:fill="FFFFFF"/>
            <w:vAlign w:val="center"/>
            <w:hideMark/>
          </w:tcPr>
          <w:p w:rsidR="00B04528" w:rsidRPr="00B04528" w:rsidRDefault="00B04528" w:rsidP="00C960D2">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卓越拔尖的生物医学工程专业一流课程体系建设</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课程体系优化</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周泓</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黄正行、杨扬、齐炜、宁钢民、吴丹</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10</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生工食品</w:t>
            </w:r>
            <w:r w:rsidRPr="00B04528">
              <w:rPr>
                <w:rFonts w:ascii="仿宋_GB2312" w:eastAsia="仿宋_GB2312" w:hAnsi="宋体" w:cs="宋体" w:hint="eastAsia"/>
                <w:color w:val="000000"/>
                <w:kern w:val="0"/>
                <w:sz w:val="24"/>
                <w:szCs w:val="24"/>
              </w:rPr>
              <w:br/>
              <w:t>学院</w:t>
            </w:r>
          </w:p>
        </w:tc>
        <w:tc>
          <w:tcPr>
            <w:tcW w:w="0" w:type="auto"/>
            <w:shd w:val="clear" w:color="auto" w:fill="FFFFFF"/>
            <w:vAlign w:val="center"/>
            <w:hideMark/>
          </w:tcPr>
          <w:p w:rsidR="00B04528" w:rsidRPr="00B04528" w:rsidRDefault="00B04528" w:rsidP="00C960D2">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面向智能农业的农业工程专业改革</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现有专业升级改造</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泮进明</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岑海燕、韦真博、徐惠荣、应义斌、何勇</w:t>
            </w:r>
          </w:p>
        </w:tc>
      </w:tr>
      <w:tr w:rsidR="00B04528" w:rsidRPr="00B04528" w:rsidTr="00C960D2">
        <w:trPr>
          <w:trHeight w:val="795"/>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11</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农学院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新时代园艺专业卓越人才培养模式创新与实践</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张波</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陈昆松、喻景权、孙崇德、马忠华、周艳虹</w:t>
            </w:r>
          </w:p>
        </w:tc>
      </w:tr>
      <w:tr w:rsidR="00B04528" w:rsidRPr="00B04528" w:rsidTr="00C960D2">
        <w:trPr>
          <w:trHeight w:val="780"/>
          <w:tblCellSpacing w:w="0" w:type="dxa"/>
        </w:trPr>
        <w:tc>
          <w:tcPr>
            <w:tcW w:w="709"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12</w:t>
            </w:r>
          </w:p>
        </w:tc>
        <w:tc>
          <w:tcPr>
            <w:tcW w:w="1701"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公共卫生系</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后疫情时期预防医学专业人才培养模式改革与创新</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培养模式创新</w:t>
            </w:r>
          </w:p>
        </w:tc>
        <w:tc>
          <w:tcPr>
            <w:tcW w:w="1034" w:type="dxa"/>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吴息凤</w:t>
            </w:r>
          </w:p>
        </w:tc>
        <w:tc>
          <w:tcPr>
            <w:tcW w:w="0" w:type="auto"/>
            <w:shd w:val="clear" w:color="auto" w:fill="FFFFFF"/>
            <w:vAlign w:val="center"/>
            <w:hideMark/>
          </w:tcPr>
          <w:p w:rsidR="00B04528" w:rsidRPr="00B04528" w:rsidRDefault="00B04528" w:rsidP="00B04528">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陈光弟、吕黎江、王红妹、陈坤、朱善宽</w:t>
            </w:r>
          </w:p>
        </w:tc>
      </w:tr>
    </w:tbl>
    <w:tbl>
      <w:tblPr>
        <w:tblpPr w:leftFromText="180" w:rightFromText="180" w:vertAnchor="text" w:horzAnchor="page" w:tblpX="1036" w:tblpY="-44"/>
        <w:tblW w:w="99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1701"/>
        <w:gridCol w:w="3224"/>
        <w:gridCol w:w="941"/>
        <w:gridCol w:w="938"/>
        <w:gridCol w:w="2268"/>
      </w:tblGrid>
      <w:tr w:rsidR="00535842" w:rsidRPr="00B04528" w:rsidTr="00C960D2">
        <w:trPr>
          <w:trHeight w:val="540"/>
          <w:tblHeader/>
          <w:tblCellSpacing w:w="0" w:type="dxa"/>
        </w:trPr>
        <w:tc>
          <w:tcPr>
            <w:tcW w:w="9923" w:type="dxa"/>
            <w:gridSpan w:val="6"/>
            <w:shd w:val="clear" w:color="auto" w:fill="FFFFFF"/>
            <w:vAlign w:val="center"/>
          </w:tcPr>
          <w:p w:rsidR="00535842" w:rsidRPr="00535842" w:rsidRDefault="00535842" w:rsidP="00535842">
            <w:pPr>
              <w:widowControl/>
              <w:shd w:val="clear" w:color="auto" w:fill="FFFFFF"/>
              <w:spacing w:before="29" w:after="29" w:line="360" w:lineRule="auto"/>
              <w:jc w:val="center"/>
              <w:rPr>
                <w:rFonts w:ascii="宋体" w:eastAsia="宋体" w:hAnsi="宋体" w:cs="宋体"/>
                <w:kern w:val="0"/>
                <w:sz w:val="24"/>
                <w:szCs w:val="24"/>
              </w:rPr>
            </w:pPr>
            <w:r w:rsidRPr="00B04528">
              <w:rPr>
                <w:rFonts w:ascii="仿宋_GB2312" w:eastAsia="仿宋_GB2312" w:hAnsi="宋体" w:cs="宋体" w:hint="eastAsia"/>
                <w:b/>
                <w:bCs/>
                <w:kern w:val="0"/>
                <w:sz w:val="27"/>
                <w:szCs w:val="27"/>
              </w:rPr>
              <w:lastRenderedPageBreak/>
              <w:t>2020年浙江大学一流本科专业综合改革培育项目名单</w:t>
            </w:r>
          </w:p>
        </w:tc>
      </w:tr>
      <w:tr w:rsidR="00535842" w:rsidRPr="00B04528" w:rsidTr="00C960D2">
        <w:trPr>
          <w:trHeight w:val="540"/>
          <w:tblHeader/>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序号</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学院（系）</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项目名称</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项目类别</w:t>
            </w:r>
          </w:p>
        </w:tc>
        <w:tc>
          <w:tcPr>
            <w:tcW w:w="938" w:type="dxa"/>
            <w:shd w:val="clear" w:color="auto" w:fill="FFFFFF"/>
            <w:vAlign w:val="center"/>
            <w:hideMark/>
          </w:tcPr>
          <w:p w:rsidR="00535842" w:rsidRPr="00B04528" w:rsidRDefault="00535842" w:rsidP="00535842">
            <w:pPr>
              <w:widowControl/>
              <w:spacing w:before="100" w:before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项目</w:t>
            </w:r>
          </w:p>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负责人</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黑体" w:eastAsia="黑体" w:hAnsi="黑体" w:cs="宋体" w:hint="eastAsia"/>
                <w:color w:val="000000"/>
                <w:kern w:val="0"/>
                <w:sz w:val="24"/>
                <w:szCs w:val="24"/>
              </w:rPr>
              <w:t>主要团队成员</w:t>
            </w:r>
          </w:p>
        </w:tc>
      </w:tr>
      <w:tr w:rsidR="00535842" w:rsidRPr="00B04528" w:rsidTr="00C960D2">
        <w:trPr>
          <w:trHeight w:val="79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经济学院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立德、强基、求实、启新-培养新时期交叉复合型金融人才</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现有专业升级改造</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朱燕建</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王义中、金雪军、俞洁芳、骆兴国、俞彬</w:t>
            </w:r>
          </w:p>
        </w:tc>
      </w:tr>
      <w:tr w:rsidR="00535842" w:rsidRPr="00B04528" w:rsidTr="00C960D2">
        <w:trPr>
          <w:trHeight w:val="79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2</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教育学院、</w:t>
            </w:r>
            <w:r w:rsidRPr="00B04528">
              <w:rPr>
                <w:rFonts w:ascii="仿宋_GB2312" w:eastAsia="仿宋_GB2312" w:hAnsi="宋体" w:cs="宋体" w:hint="eastAsia"/>
                <w:color w:val="000000"/>
                <w:kern w:val="0"/>
                <w:sz w:val="24"/>
                <w:szCs w:val="24"/>
              </w:rPr>
              <w:br/>
              <w:t>机械学院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color w:val="000000"/>
                <w:kern w:val="0"/>
                <w:sz w:val="24"/>
                <w:szCs w:val="24"/>
              </w:rPr>
              <w:t>“</w:t>
            </w:r>
            <w:r w:rsidRPr="00B04528">
              <w:rPr>
                <w:rFonts w:ascii="仿宋_GB2312" w:eastAsia="仿宋_GB2312" w:hAnsi="宋体" w:cs="宋体" w:hint="eastAsia"/>
                <w:color w:val="000000"/>
                <w:kern w:val="0"/>
                <w:sz w:val="24"/>
                <w:szCs w:val="24"/>
              </w:rPr>
              <w:t>智能体育工程”本科专业建设</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新专业建设</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张辉</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王健、于可红、周丽君、陈为、欧阳小平</w:t>
            </w:r>
          </w:p>
        </w:tc>
      </w:tr>
      <w:tr w:rsidR="00535842" w:rsidRPr="00B04528" w:rsidTr="00C960D2">
        <w:trPr>
          <w:trHeight w:val="79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3</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公管学院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color w:val="000000"/>
                <w:kern w:val="0"/>
                <w:sz w:val="24"/>
                <w:szCs w:val="24"/>
              </w:rPr>
              <w:t>“</w:t>
            </w:r>
            <w:r w:rsidRPr="00B04528">
              <w:rPr>
                <w:rFonts w:ascii="仿宋_GB2312" w:eastAsia="仿宋_GB2312" w:hAnsi="宋体" w:cs="宋体" w:hint="eastAsia"/>
                <w:color w:val="000000"/>
                <w:kern w:val="0"/>
                <w:sz w:val="24"/>
                <w:szCs w:val="24"/>
              </w:rPr>
              <w:t>三化协同、三课并举”的本研</w:t>
            </w:r>
            <w:r w:rsidRPr="00B04528">
              <w:rPr>
                <w:rFonts w:ascii="仿宋_GB2312" w:eastAsia="仿宋_GB2312" w:hAnsi="宋体" w:cs="宋体" w:hint="eastAsia"/>
                <w:color w:val="000000"/>
                <w:kern w:val="0"/>
                <w:sz w:val="24"/>
                <w:szCs w:val="24"/>
              </w:rPr>
              <w:br/>
              <w:t>互通联合培养模式创新</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钱文荣</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茅锐、金少胜、阮建青、龚斌磊、陈帅</w:t>
            </w:r>
          </w:p>
        </w:tc>
      </w:tr>
      <w:tr w:rsidR="00535842" w:rsidRPr="00B04528" w:rsidTr="00C960D2">
        <w:trPr>
          <w:trHeight w:val="79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4</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地科学院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基于地球系统科学思想的课程体系改革</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课程体系优化</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程晓敢</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张丰、饶灿、舒守娟、朱佩君、杜震洪</w:t>
            </w:r>
          </w:p>
        </w:tc>
      </w:tr>
      <w:tr w:rsidR="00535842" w:rsidRPr="00B04528" w:rsidTr="00C960D2">
        <w:trPr>
          <w:trHeight w:val="103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5</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机械学院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科教产教深度融合的机械工程创新实践能力培养模式的探索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杨将新</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刘振宇、傅建中、顾大强、林志伟、汪延成</w:t>
            </w:r>
          </w:p>
        </w:tc>
      </w:tr>
      <w:tr w:rsidR="00535842" w:rsidRPr="00B04528" w:rsidTr="00C960D2">
        <w:trPr>
          <w:trHeight w:val="720"/>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6</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建工学院、</w:t>
            </w:r>
            <w:r w:rsidRPr="00B04528">
              <w:rPr>
                <w:rFonts w:ascii="仿宋_GB2312" w:eastAsia="仿宋_GB2312" w:hAnsi="宋体" w:cs="宋体" w:hint="eastAsia"/>
                <w:kern w:val="0"/>
                <w:sz w:val="24"/>
                <w:szCs w:val="24"/>
              </w:rPr>
              <w:br/>
              <w:t>计算机学院</w:t>
            </w:r>
          </w:p>
        </w:tc>
        <w:tc>
          <w:tcPr>
            <w:tcW w:w="0" w:type="auto"/>
            <w:shd w:val="clear" w:color="auto" w:fill="FFFFFF"/>
            <w:vAlign w:val="center"/>
            <w:hideMark/>
          </w:tcPr>
          <w:p w:rsidR="00535842" w:rsidRPr="00B04528" w:rsidRDefault="00535842" w:rsidP="00C960D2">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数字化设计与建造综合课程体系建设</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课程体系优化</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吴越</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孙凌云、许伟舜、孟浩、李文驹、陈林</w:t>
            </w:r>
          </w:p>
        </w:tc>
      </w:tr>
      <w:tr w:rsidR="00535842" w:rsidRPr="00B04528" w:rsidTr="00C960D2">
        <w:trPr>
          <w:trHeight w:val="103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7</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建工学院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土木、水利与交通工程新工科专业优化与人才培养体系深化改革研究</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现有专业升级改造</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罗尧治</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吕朝峰、段元锋、许贤、胡安峰、陈喜群</w:t>
            </w:r>
          </w:p>
        </w:tc>
      </w:tr>
      <w:tr w:rsidR="00535842" w:rsidRPr="00B04528" w:rsidTr="00C960D2">
        <w:trPr>
          <w:trHeight w:val="617"/>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8</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光电学院</w:t>
            </w:r>
          </w:p>
        </w:tc>
        <w:tc>
          <w:tcPr>
            <w:tcW w:w="0" w:type="auto"/>
            <w:shd w:val="clear" w:color="auto" w:fill="FFFFFF"/>
            <w:vAlign w:val="center"/>
            <w:hideMark/>
          </w:tcPr>
          <w:p w:rsidR="00535842" w:rsidRPr="00B04528" w:rsidRDefault="00535842" w:rsidP="00C960D2">
            <w:pPr>
              <w:widowControl/>
              <w:spacing w:before="100" w:before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光电专业顶尖紧缺人才培养模式探索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郑臻荣</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刘向东、刘玉玲、刘旭、时尧成、郑晓东</w:t>
            </w:r>
          </w:p>
        </w:tc>
      </w:tr>
      <w:tr w:rsidR="00535842" w:rsidRPr="00B04528" w:rsidTr="00C960D2">
        <w:trPr>
          <w:trHeight w:val="386"/>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9</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信电学院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适应信息与通信技术变革的的专业综合改革</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课程体系优化</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张朝阳</w:t>
            </w:r>
          </w:p>
        </w:tc>
        <w:tc>
          <w:tcPr>
            <w:tcW w:w="2268" w:type="dxa"/>
            <w:shd w:val="clear" w:color="auto" w:fill="FFFFFF"/>
            <w:vAlign w:val="center"/>
            <w:hideMark/>
          </w:tcPr>
          <w:p w:rsidR="00535842" w:rsidRPr="00C960D2" w:rsidRDefault="00535842" w:rsidP="00535842">
            <w:pPr>
              <w:widowControl/>
              <w:spacing w:before="100" w:beforeAutospacing="1" w:after="100" w:afterAutospacing="1"/>
              <w:jc w:val="center"/>
              <w:rPr>
                <w:rFonts w:ascii="宋体" w:eastAsia="宋体" w:hAnsi="宋体" w:cs="宋体"/>
                <w:kern w:val="0"/>
                <w:szCs w:val="21"/>
              </w:rPr>
            </w:pPr>
            <w:r w:rsidRPr="00C960D2">
              <w:rPr>
                <w:rFonts w:ascii="仿宋_GB2312" w:eastAsia="仿宋_GB2312" w:hAnsi="宋体" w:cs="宋体" w:hint="eastAsia"/>
                <w:kern w:val="0"/>
                <w:szCs w:val="21"/>
              </w:rPr>
              <w:t>杨冬晓、赵颂平、陈</w:t>
            </w:r>
            <w:r w:rsidRPr="00C960D2">
              <w:rPr>
                <w:rFonts w:ascii="宋体" w:eastAsia="宋体" w:hAnsi="宋体" w:cs="宋体" w:hint="eastAsia"/>
                <w:kern w:val="0"/>
                <w:szCs w:val="21"/>
              </w:rPr>
              <w:t>恵</w:t>
            </w:r>
            <w:r w:rsidRPr="00C960D2">
              <w:rPr>
                <w:rFonts w:ascii="仿宋_GB2312" w:eastAsia="仿宋_GB2312" w:hAnsi="宋体" w:cs="宋体" w:hint="eastAsia"/>
                <w:kern w:val="0"/>
                <w:szCs w:val="21"/>
              </w:rPr>
              <w:t>芳、胡浩基、唐慧明</w:t>
            </w:r>
          </w:p>
        </w:tc>
      </w:tr>
      <w:tr w:rsidR="00535842" w:rsidRPr="00B04528" w:rsidTr="00C960D2">
        <w:trPr>
          <w:trHeight w:val="75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10</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生科学院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多学科交叉融合的生态学人才培养模式</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陈欣</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彭金荣、程磊、邱英雄、唐建军、赵云鹏</w:t>
            </w:r>
          </w:p>
        </w:tc>
      </w:tr>
      <w:tr w:rsidR="00535842" w:rsidRPr="00B04528" w:rsidTr="00C960D2">
        <w:trPr>
          <w:trHeight w:val="540"/>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11</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环资学院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新工科背景下环境工程专业实践与创新能力培养模式改革</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梁新强</w:t>
            </w:r>
          </w:p>
        </w:tc>
        <w:tc>
          <w:tcPr>
            <w:tcW w:w="2268" w:type="dxa"/>
            <w:shd w:val="clear" w:color="auto" w:fill="FFFFFF"/>
            <w:vAlign w:val="center"/>
            <w:hideMark/>
          </w:tcPr>
          <w:p w:rsidR="00535842" w:rsidRPr="00C960D2" w:rsidRDefault="00535842" w:rsidP="00535842">
            <w:pPr>
              <w:widowControl/>
              <w:spacing w:before="100" w:beforeAutospacing="1" w:after="100" w:afterAutospacing="1"/>
              <w:jc w:val="center"/>
              <w:rPr>
                <w:rFonts w:ascii="宋体" w:eastAsia="宋体" w:hAnsi="宋体" w:cs="宋体"/>
                <w:kern w:val="0"/>
                <w:szCs w:val="21"/>
              </w:rPr>
            </w:pPr>
            <w:r w:rsidRPr="00C960D2">
              <w:rPr>
                <w:rFonts w:ascii="仿宋_GB2312" w:eastAsia="仿宋_GB2312" w:hAnsi="宋体" w:cs="宋体" w:hint="eastAsia"/>
                <w:kern w:val="0"/>
                <w:szCs w:val="21"/>
              </w:rPr>
              <w:t>胡宝兰、逯慧杰、翁小乐、徐向阳、吴伟祥</w:t>
            </w:r>
          </w:p>
        </w:tc>
      </w:tr>
      <w:tr w:rsidR="00535842" w:rsidRPr="00B04528" w:rsidTr="00C960D2">
        <w:trPr>
          <w:trHeight w:val="483"/>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12</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动科学院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动物医学专业“本-研”贯通培养模式的探索与创新</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周继勇</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黄耀伟、谭勋、乐敏、杜爱芳、张才乔</w:t>
            </w:r>
          </w:p>
        </w:tc>
      </w:tr>
      <w:tr w:rsidR="00535842" w:rsidRPr="00B04528" w:rsidTr="00C960D2">
        <w:trPr>
          <w:trHeight w:val="720"/>
          <w:tblCellSpacing w:w="0" w:type="dxa"/>
        </w:trPr>
        <w:tc>
          <w:tcPr>
            <w:tcW w:w="851" w:type="dxa"/>
            <w:shd w:val="clear" w:color="auto" w:fill="FFFFFF"/>
            <w:vAlign w:val="center"/>
            <w:hideMark/>
          </w:tcPr>
          <w:p w:rsidR="00535842" w:rsidRPr="00C960D2" w:rsidRDefault="00535842" w:rsidP="00C960D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13</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脑科学与脑医学系</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基于“双脑计划”的神经科学新专业建设</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新专业建设</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段树民</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李晓明、罗建红、胡海岚、周煜东、斯科</w:t>
            </w:r>
          </w:p>
        </w:tc>
      </w:tr>
      <w:tr w:rsidR="00535842" w:rsidRPr="00B04528" w:rsidTr="00C960D2">
        <w:trPr>
          <w:trHeight w:val="705"/>
          <w:tblCellSpacing w:w="0" w:type="dxa"/>
        </w:trPr>
        <w:tc>
          <w:tcPr>
            <w:tcW w:w="85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宋体" w:eastAsia="宋体" w:hAnsi="宋体" w:cs="宋体" w:hint="eastAsia"/>
                <w:color w:val="000000"/>
                <w:kern w:val="0"/>
                <w:sz w:val="23"/>
                <w:szCs w:val="23"/>
              </w:rPr>
              <w:t>14</w:t>
            </w:r>
          </w:p>
        </w:tc>
        <w:tc>
          <w:tcPr>
            <w:tcW w:w="1701"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国教院、</w:t>
            </w:r>
            <w:r w:rsidRPr="00B04528">
              <w:rPr>
                <w:rFonts w:ascii="仿宋_GB2312" w:eastAsia="仿宋_GB2312" w:hAnsi="宋体" w:cs="宋体" w:hint="eastAsia"/>
                <w:color w:val="000000"/>
                <w:kern w:val="0"/>
                <w:sz w:val="24"/>
                <w:szCs w:val="24"/>
              </w:rPr>
              <w:br/>
              <w:t>经济学院</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互为表里，共生发展：践行“汉语+商务”精英人才联合培养新模式</w:t>
            </w:r>
          </w:p>
        </w:tc>
        <w:tc>
          <w:tcPr>
            <w:tcW w:w="0" w:type="auto"/>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color w:val="000000"/>
                <w:kern w:val="0"/>
                <w:sz w:val="24"/>
                <w:szCs w:val="24"/>
              </w:rPr>
              <w:t>培养模式创新</w:t>
            </w:r>
          </w:p>
        </w:tc>
        <w:tc>
          <w:tcPr>
            <w:tcW w:w="93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唐晓武</w:t>
            </w:r>
          </w:p>
        </w:tc>
        <w:tc>
          <w:tcPr>
            <w:tcW w:w="2268" w:type="dxa"/>
            <w:shd w:val="clear" w:color="auto" w:fill="FFFFFF"/>
            <w:vAlign w:val="center"/>
            <w:hideMark/>
          </w:tcPr>
          <w:p w:rsidR="00535842" w:rsidRPr="00B04528" w:rsidRDefault="00535842" w:rsidP="00535842">
            <w:pPr>
              <w:widowControl/>
              <w:spacing w:before="100" w:beforeAutospacing="1" w:after="100" w:afterAutospacing="1"/>
              <w:jc w:val="center"/>
              <w:rPr>
                <w:rFonts w:ascii="宋体" w:eastAsia="宋体" w:hAnsi="宋体" w:cs="宋体"/>
                <w:kern w:val="0"/>
                <w:sz w:val="24"/>
                <w:szCs w:val="24"/>
              </w:rPr>
            </w:pPr>
            <w:r w:rsidRPr="00B04528">
              <w:rPr>
                <w:rFonts w:ascii="仿宋_GB2312" w:eastAsia="仿宋_GB2312" w:hAnsi="宋体" w:cs="宋体" w:hint="eastAsia"/>
                <w:kern w:val="0"/>
                <w:sz w:val="24"/>
                <w:szCs w:val="24"/>
              </w:rPr>
              <w:t>陆菁、施虹、严建苗、陈敏、余林徽</w:t>
            </w:r>
          </w:p>
        </w:tc>
      </w:tr>
    </w:tbl>
    <w:p w:rsidR="00595611" w:rsidRPr="00B04528" w:rsidRDefault="00595611" w:rsidP="00C960D2"/>
    <w:sectPr w:rsidR="00595611" w:rsidRPr="00B04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B2" w:rsidRDefault="00C638B2" w:rsidP="00CD1106">
      <w:r>
        <w:separator/>
      </w:r>
    </w:p>
  </w:endnote>
  <w:endnote w:type="continuationSeparator" w:id="0">
    <w:p w:rsidR="00C638B2" w:rsidRDefault="00C638B2" w:rsidP="00C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B2" w:rsidRDefault="00C638B2" w:rsidP="00CD1106">
      <w:r>
        <w:separator/>
      </w:r>
    </w:p>
  </w:footnote>
  <w:footnote w:type="continuationSeparator" w:id="0">
    <w:p w:rsidR="00C638B2" w:rsidRDefault="00C638B2" w:rsidP="00C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28"/>
    <w:rsid w:val="004E37A5"/>
    <w:rsid w:val="00535842"/>
    <w:rsid w:val="00595611"/>
    <w:rsid w:val="0071221F"/>
    <w:rsid w:val="00B04528"/>
    <w:rsid w:val="00C638B2"/>
    <w:rsid w:val="00C960D2"/>
    <w:rsid w:val="00CD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57DF"/>
  <w15:chartTrackingRefBased/>
  <w15:docId w15:val="{9EDDD02A-865D-4209-B4A2-612ECE8C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842"/>
    <w:pPr>
      <w:widowControl w:val="0"/>
      <w:jc w:val="both"/>
    </w:pPr>
  </w:style>
  <w:style w:type="paragraph" w:styleId="2">
    <w:name w:val="heading 2"/>
    <w:basedOn w:val="a"/>
    <w:link w:val="20"/>
    <w:uiPriority w:val="9"/>
    <w:qFormat/>
    <w:rsid w:val="00B045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4528"/>
    <w:rPr>
      <w:rFonts w:ascii="宋体" w:eastAsia="宋体" w:hAnsi="宋体" w:cs="宋体"/>
      <w:b/>
      <w:bCs/>
      <w:kern w:val="0"/>
      <w:sz w:val="36"/>
      <w:szCs w:val="36"/>
    </w:rPr>
  </w:style>
  <w:style w:type="paragraph" w:customStyle="1" w:styleId="art-summary">
    <w:name w:val="art-summary"/>
    <w:basedOn w:val="a"/>
    <w:rsid w:val="00B04528"/>
    <w:pPr>
      <w:widowControl/>
      <w:spacing w:before="100" w:beforeAutospacing="1" w:after="100" w:afterAutospacing="1"/>
      <w:jc w:val="left"/>
    </w:pPr>
    <w:rPr>
      <w:rFonts w:ascii="宋体" w:eastAsia="宋体" w:hAnsi="宋体" w:cs="宋体"/>
      <w:kern w:val="0"/>
      <w:sz w:val="24"/>
      <w:szCs w:val="24"/>
    </w:rPr>
  </w:style>
  <w:style w:type="character" w:customStyle="1" w:styleId="artipublisherfbz1">
    <w:name w:val="arti_publisher_fbz_1"/>
    <w:basedOn w:val="a0"/>
    <w:rsid w:val="00B04528"/>
  </w:style>
  <w:style w:type="character" w:customStyle="1" w:styleId="artipublisherfbz">
    <w:name w:val="arti_publisher_fbz"/>
    <w:basedOn w:val="a0"/>
    <w:rsid w:val="00B04528"/>
  </w:style>
  <w:style w:type="character" w:customStyle="1" w:styleId="wpvisitcount">
    <w:name w:val="wp_visitcount"/>
    <w:basedOn w:val="a0"/>
    <w:rsid w:val="00B04528"/>
  </w:style>
  <w:style w:type="paragraph" w:styleId="a3">
    <w:name w:val="Normal (Web)"/>
    <w:basedOn w:val="a"/>
    <w:uiPriority w:val="99"/>
    <w:semiHidden/>
    <w:unhideWhenUsed/>
    <w:rsid w:val="00B0452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045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4528"/>
    <w:rPr>
      <w:b/>
      <w:bCs/>
    </w:rPr>
  </w:style>
  <w:style w:type="paragraph" w:styleId="a5">
    <w:name w:val="header"/>
    <w:basedOn w:val="a"/>
    <w:link w:val="a6"/>
    <w:uiPriority w:val="99"/>
    <w:unhideWhenUsed/>
    <w:rsid w:val="00CD11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1106"/>
    <w:rPr>
      <w:sz w:val="18"/>
      <w:szCs w:val="18"/>
    </w:rPr>
  </w:style>
  <w:style w:type="paragraph" w:styleId="a7">
    <w:name w:val="footer"/>
    <w:basedOn w:val="a"/>
    <w:link w:val="a8"/>
    <w:uiPriority w:val="99"/>
    <w:unhideWhenUsed/>
    <w:rsid w:val="00CD1106"/>
    <w:pPr>
      <w:tabs>
        <w:tab w:val="center" w:pos="4153"/>
        <w:tab w:val="right" w:pos="8306"/>
      </w:tabs>
      <w:snapToGrid w:val="0"/>
      <w:jc w:val="left"/>
    </w:pPr>
    <w:rPr>
      <w:sz w:val="18"/>
      <w:szCs w:val="18"/>
    </w:rPr>
  </w:style>
  <w:style w:type="character" w:customStyle="1" w:styleId="a8">
    <w:name w:val="页脚 字符"/>
    <w:basedOn w:val="a0"/>
    <w:link w:val="a7"/>
    <w:uiPriority w:val="99"/>
    <w:rsid w:val="00CD11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9136">
      <w:bodyDiv w:val="1"/>
      <w:marLeft w:val="0"/>
      <w:marRight w:val="0"/>
      <w:marTop w:val="0"/>
      <w:marBottom w:val="0"/>
      <w:divBdr>
        <w:top w:val="none" w:sz="0" w:space="0" w:color="auto"/>
        <w:left w:val="none" w:sz="0" w:space="0" w:color="auto"/>
        <w:bottom w:val="none" w:sz="0" w:space="0" w:color="auto"/>
        <w:right w:val="none" w:sz="0" w:space="0" w:color="auto"/>
      </w:divBdr>
      <w:divsChild>
        <w:div w:id="1512144718">
          <w:marLeft w:val="0"/>
          <w:marRight w:val="0"/>
          <w:marTop w:val="0"/>
          <w:marBottom w:val="0"/>
          <w:divBdr>
            <w:top w:val="none" w:sz="0" w:space="0" w:color="auto"/>
            <w:left w:val="none" w:sz="0" w:space="0" w:color="auto"/>
            <w:bottom w:val="none" w:sz="0" w:space="0" w:color="auto"/>
            <w:right w:val="none" w:sz="0" w:space="0" w:color="auto"/>
          </w:divBdr>
          <w:divsChild>
            <w:div w:id="12532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yyx</dc:creator>
  <cp:keywords/>
  <dc:description/>
  <cp:lastModifiedBy>yyx</cp:lastModifiedBy>
  <cp:revision>5</cp:revision>
  <dcterms:created xsi:type="dcterms:W3CDTF">2021-11-29T02:45:00Z</dcterms:created>
  <dcterms:modified xsi:type="dcterms:W3CDTF">2021-12-03T01:13:00Z</dcterms:modified>
</cp:coreProperties>
</file>