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5C" w:rsidRPr="00654DAE" w:rsidRDefault="006F185C" w:rsidP="005F3414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仿宋" w:cs="宋体"/>
          <w:b/>
          <w:bCs/>
          <w:spacing w:val="-20"/>
          <w:kern w:val="0"/>
          <w:sz w:val="44"/>
          <w:szCs w:val="44"/>
        </w:rPr>
      </w:pPr>
      <w:bookmarkStart w:id="0" w:name="_GoBack"/>
      <w:r w:rsidRPr="00654DAE">
        <w:rPr>
          <w:rFonts w:ascii="方正小标宋简体" w:eastAsia="方正小标宋简体" w:hAnsi="仿宋" w:cs="宋体" w:hint="eastAsia"/>
          <w:b/>
          <w:bCs/>
          <w:spacing w:val="-20"/>
          <w:kern w:val="0"/>
          <w:sz w:val="44"/>
          <w:szCs w:val="44"/>
        </w:rPr>
        <w:t>关于申报2020年浙江大学卓越教学岗的通知</w:t>
      </w:r>
    </w:p>
    <w:bookmarkEnd w:id="0"/>
    <w:p w:rsidR="006F185C" w:rsidRPr="00DB20C4" w:rsidRDefault="006F185C" w:rsidP="005F3414">
      <w:pPr>
        <w:widowControl/>
        <w:shd w:val="clear" w:color="auto" w:fill="FFFFFF"/>
        <w:spacing w:line="500" w:lineRule="exact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各学院（系）：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为进一步激发教师教学活力，提升教师教学荣誉感和责任感，鼓励部分教师将主要精力投入教学工作，推动学校办学质量不断提高，学校决定设置卓越教学岗。现将申报事项通知如下。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一、岗位设置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“卓越教学岗”面向全职在浙江大学从事教学一线工作、参与2020年校内岗位聘任的教师。设置卓越教学岗A岗和卓越教学岗B岗（基础），主要为建立一支稳定的基础课程教学队伍；设置卓越教学岗B岗（专业），主要支持专业（学科）发展，负责整体规划专业（学科）和课程群的建设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二、申报条件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坚定的理想信念，良好的思想政治素质、师德师风和敬业精神，坚持立德树人，遵循教育规律、思想政治工作规律、学生成长规律，注重理论教育和实践活动相结合。近3年(2017年以来)无教学事故、无学术失范事件或因导师指导失职导致的学术失范事件出现，并符合下述各岗位对应的各项条件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（一）卓越教学岗A岗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具有高级职称。开设本科生通识课、专业基础课或研究生公共课，为课程（组）负责人或核心成员。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近3学年（2016-2017学年，2017-2018学年，2018-2019学年，下同）年均教学时数不少于所在学院（系）最低基本教学时数的1.5倍，且每学年平均总教学时数不少于128学时，课堂教学评价优良率100%，其中优秀率30%及以上。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曾获校级及以上教学奖（含永平奖、宝钢优秀教师奖、唐立新教学名师奖、校优质教学一等奖、校级教学竞赛一等奖及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lastRenderedPageBreak/>
        <w:t>以上）；或编写省级及以上规划教材（排名前2）；或获省级及以上一流课程（排名前2）；或校级及以上教学研究或教学改革项目（负责人，近3年，2017-2019年，下同）；或在核心期刊及以上刊物发表教学研究或教学改革论文（第一作者或通讯作者，近3年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（二）卓越教学岗B岗（基础）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高级职称。主讲本科生通识课、专业基础课或研究生公共课，且近3学年年均教学时数不少于所在学院（系）最低基本教学时数的1.5倍，且每学年平均总教学时数不少于128学时，课堂教学评价优良率100%，其中优秀率20%及以上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曾获校级及以上教学奖（含永平奖、宝钢优秀教师奖、唐立新教学名师奖、校优质教学一等奖、校级教学竞赛一等奖及以上）；或编写省级及以上规划教材（排名前3）；或获省级及以上一流课程（排名前2）；或为校级及以上教学研究或教学改革项目主要成员（排名前2，近3年）；或在核心期刊及以上刊物发表教学研究或教学改革论文（排名前2或通讯作者，近3年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（三）卓越教学岗B岗（专业）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具有高级职称。担任专业（学科）负责人或基层教学组织负责人，且近3学年年均教学时数不少于所在学院（系）最低基本教学时数的1.5倍，且每学年平均总教学时数不少于96学时，课堂教学评价优良率100%，其中优秀率20%及以上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曾获校级及以上教学奖（含永平奖、宝钢优秀教师奖、唐立新教学名师奖、校优质教学一等奖、校级教学竞赛一等奖及以上）；或编写省级及以上规划教材（排名前3）；或获省级及以上一流课程（排名前2）；或为校级及以上教学研究或教学改革项目主要成员（排名前2，近3年）；或在核心期刊及以上刊物发表教学研究或教学改革论文（排名前2或通讯作者，近3年）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lastRenderedPageBreak/>
        <w:t>三、考核条件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555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9C6EF5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教学卓越岗的评聘周期为四年。学校主要考核受聘教师的教学工作，受聘教师在聘期内应将主要精力投入教学工作，完成约定的工作职责。受聘教师两年后接受学校组织的中期考核，四年后接受聘期考核。中期或聘期考核不通过的教师，将进行岗位调整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555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9C6EF5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中期考核主要对受聘教师的教学时数、教学质量、履职情况等进行评估。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555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聘期考核对受聘教师的具体要求如下。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（一）卓越教学岗A岗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负责本科生通识课、专业基础课或研究生公共课建设，带领团队开展教学研究与改革，课程建设成效具有示范效应。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满足分类聘岗基本教学时数要求，并且本科和研究生教学实际时数不少于288学时/学年（其中本科通识课、专业基础课和研究生公共课不少于192学时）。因材施教，教学效果好，课堂教学评价优良率100%，且优秀率不低于30%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开展教学研究，在聘期内以负责人承担省级及以上教学类项目1项（含一流课程及教材建设项目、教改项目等）。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4.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在聘期内在核心期刊及以上刊物发表教学研究或教学改革论文2篇（第一作者或通讯作者）或出版省级及以上规划教材1部（排名前2）。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（二）卓越教学岗B岗（基础）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主讲本科生通识课程、专业基础课程，或研究生公共课程，推进课程改革创新，课程建设取得较好成效。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满足分类聘岗教学基本教学时数要求，并且本科和研究生教学实际时数不少于288学时/学年（其中本科通识课、专业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lastRenderedPageBreak/>
        <w:t>基础课和研究生公共课不少于192学时），</w:t>
      </w:r>
      <w:bookmarkStart w:id="1" w:name="_Hlk40814729"/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课堂教学评价优良率100%，其中优秀率不低于20%。</w:t>
      </w:r>
      <w:bookmarkEnd w:id="1"/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开展教学研究，在聘期内以负责人承担校级及以上教学类项目，或参与省级及以上教学类项目（排名前2）1项（含一流课程及教材建设项目、教改项目等）。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4.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聘期内在核心期刊及以上发表教学研究或教学改革论文1篇（第一作者或通讯作者），或作为主编正式出版教材1部。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b/>
          <w:bCs/>
          <w:color w:val="040404"/>
          <w:kern w:val="0"/>
          <w:sz w:val="30"/>
          <w:szCs w:val="30"/>
        </w:rPr>
        <w:t>（三）卓越教学岗B岗（专业）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作为专业（学科）负责人，推进专业建设，优化专业培养方案，专业建设取得显著成效；或作为基层教学组织负责人，带领课程团队，开展课程建设规划和课程教学改革实践，课程建设成效显著。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满足分类聘岗基本教学时数要求，教学实际时数不少于96学时/学年。课堂教学评价优良率100%，其中优秀率不低于20%。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在聘期内以负责人承担校级及以上教学类项目，或参与省级及以上教学类项目（排名前2）1项（含一流课程及教材建设项目、教改项目等）。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4.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在聘期内在核心期刊及以上刊物发表教学研究或教学改革论文1篇（第一作者或通讯作者），或作为主编正式出版教材1部。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四、支持措施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卓越教学岗A岗享受特殊津贴10万元/年；卓越教学岗B岗享受特殊津贴6万元/年。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如同时入选学校其他特殊津贴支持计划，则就高享受。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五、申报流程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1．申请人填写《浙江大学卓越教学岗申请表》（附件1）。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lastRenderedPageBreak/>
        <w:t>2．学院（系）组织评议后将推荐人名单进行排序后报送学校。各学院（系）的推荐名额见附件2。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3．学校组织专家评审，卓越教学岗A岗和卓越教学岗B岗（基础）合并评审，卓越教学岗B岗（专业）单独评审。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六、申报材料及时间要求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请各学院（系）将推荐人的《浙江大学卓越教学岗申请表》（附件1，一式1份，双面打印）及排序后的推荐人名单（附件3，一式一份）纸质版签章后，于6月10日前分别对应送至本科生院（东1B-113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室）或研究生院（研究生教育综合楼812-2室），同时发送材料电子版（附件1，PDF盖章扫描件，文件名格式：推荐岗位+姓名；附件3，EXCEL版及PDF盖章扫描件，文件名格式：单位名称）到联系人邮箱。</w:t>
      </w:r>
    </w:p>
    <w:p w:rsidR="006F185C" w:rsidRPr="009C6EF5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黑体" w:eastAsia="黑体" w:hAnsi="黑体" w:cs="宋体"/>
          <w:b/>
          <w:bCs/>
          <w:color w:val="040404"/>
          <w:kern w:val="0"/>
          <w:sz w:val="30"/>
          <w:szCs w:val="30"/>
        </w:rPr>
      </w:pPr>
      <w:r w:rsidRPr="009C6EF5">
        <w:rPr>
          <w:rFonts w:ascii="黑体" w:eastAsia="黑体" w:hAnsi="黑体" w:cs="宋体" w:hint="eastAsia"/>
          <w:b/>
          <w:bCs/>
          <w:color w:val="040404"/>
          <w:kern w:val="0"/>
          <w:sz w:val="30"/>
          <w:szCs w:val="30"/>
        </w:rPr>
        <w:t>七、联系人及联系方式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1．本科生院联系人：刘鹏，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88981236，lpchair@zju.edu.cn。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研究生院联系人：刘多，88981406，ld@zju.edu.cn，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345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倪加旎，88981408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2．人事处（人事政策解答等）联系人：孙伟琴，88981646。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附件：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1．</w:t>
      </w:r>
      <w:hyperlink r:id="rId6" w:history="1">
        <w:r w:rsidRPr="00DB20C4">
          <w:rPr>
            <w:rFonts w:ascii="仿宋_GB2312" w:eastAsia="仿宋_GB2312" w:hAnsi="宋体" w:cs="宋体" w:hint="eastAsia"/>
            <w:color w:val="040404"/>
            <w:kern w:val="0"/>
            <w:sz w:val="30"/>
            <w:szCs w:val="30"/>
            <w:u w:val="single"/>
          </w:rPr>
          <w:t>浙江大学卓越教学岗申请表.docx</w:t>
        </w:r>
      </w:hyperlink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2．</w:t>
      </w:r>
      <w:hyperlink r:id="rId7" w:history="1">
        <w:r w:rsidRPr="00DB20C4">
          <w:rPr>
            <w:rFonts w:ascii="仿宋_GB2312" w:eastAsia="仿宋_GB2312" w:hAnsi="宋体" w:cs="宋体" w:hint="eastAsia"/>
            <w:color w:val="040404"/>
            <w:kern w:val="0"/>
            <w:sz w:val="30"/>
            <w:szCs w:val="30"/>
            <w:u w:val="single"/>
          </w:rPr>
          <w:t>浙江大学卓越教学岗学院（系）推荐名额分配表.docx</w:t>
        </w:r>
      </w:hyperlink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3.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hyperlink r:id="rId8" w:history="1">
        <w:r w:rsidRPr="00DB20C4">
          <w:rPr>
            <w:rFonts w:ascii="仿宋_GB2312" w:eastAsia="仿宋_GB2312" w:hAnsi="宋体" w:cs="宋体" w:hint="eastAsia"/>
            <w:color w:val="040404"/>
            <w:kern w:val="0"/>
            <w:sz w:val="30"/>
            <w:szCs w:val="30"/>
            <w:u w:val="single"/>
          </w:rPr>
          <w:t>浙江大学卓越教学岗推荐人汇总表.xlsx</w:t>
        </w:r>
      </w:hyperlink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00"/>
        <w:jc w:val="right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          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                       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本科生院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6900"/>
        <w:jc w:val="right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研究生院</w:t>
      </w:r>
    </w:p>
    <w:p w:rsidR="006F185C" w:rsidRPr="00DB20C4" w:rsidRDefault="006F185C" w:rsidP="005F3414">
      <w:pPr>
        <w:widowControl/>
        <w:shd w:val="clear" w:color="auto" w:fill="FFFFFF"/>
        <w:spacing w:line="500" w:lineRule="exact"/>
        <w:ind w:firstLine="7200"/>
        <w:jc w:val="right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人事处</w:t>
      </w:r>
    </w:p>
    <w:p w:rsidR="008143FF" w:rsidRPr="00DB20C4" w:rsidRDefault="006F185C" w:rsidP="005F3414">
      <w:pPr>
        <w:widowControl/>
        <w:shd w:val="clear" w:color="auto" w:fill="FFFFFF"/>
        <w:spacing w:line="500" w:lineRule="exact"/>
        <w:ind w:firstLine="600"/>
        <w:jc w:val="right"/>
        <w:rPr>
          <w:rFonts w:ascii="仿宋_GB2312" w:eastAsia="仿宋_GB2312"/>
          <w:sz w:val="30"/>
          <w:szCs w:val="30"/>
        </w:rPr>
      </w:pP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       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 xml:space="preserve"> 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  <w:r w:rsidRPr="00DB20C4">
        <w:rPr>
          <w:rFonts w:ascii="仿宋_GB2312" w:eastAsia="仿宋_GB2312" w:hAnsi="宋体" w:cs="宋体" w:hint="eastAsia"/>
          <w:color w:val="040404"/>
          <w:kern w:val="0"/>
          <w:sz w:val="30"/>
          <w:szCs w:val="30"/>
          <w:bdr w:val="none" w:sz="0" w:space="0" w:color="auto" w:frame="1"/>
        </w:rPr>
        <w:t xml:space="preserve"> 2020年6月2日</w:t>
      </w:r>
    </w:p>
    <w:sectPr w:rsidR="008143FF" w:rsidRPr="00DB2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1C" w:rsidRDefault="00EB281C" w:rsidP="006F185C">
      <w:r>
        <w:separator/>
      </w:r>
    </w:p>
  </w:endnote>
  <w:endnote w:type="continuationSeparator" w:id="0">
    <w:p w:rsidR="00EB281C" w:rsidRDefault="00EB281C" w:rsidP="006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81925"/>
      <w:docPartObj>
        <w:docPartGallery w:val="Page Numbers (Bottom of Page)"/>
        <w:docPartUnique/>
      </w:docPartObj>
    </w:sdtPr>
    <w:sdtEndPr/>
    <w:sdtContent>
      <w:p w:rsidR="005F3414" w:rsidRDefault="005F34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DE" w:rsidRPr="000937DE">
          <w:rPr>
            <w:noProof/>
            <w:lang w:val="zh-CN"/>
          </w:rPr>
          <w:t>4</w:t>
        </w:r>
        <w:r>
          <w:fldChar w:fldCharType="end"/>
        </w:r>
      </w:p>
    </w:sdtContent>
  </w:sdt>
  <w:p w:rsidR="005F3414" w:rsidRDefault="005F34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1C" w:rsidRDefault="00EB281C" w:rsidP="006F185C">
      <w:r>
        <w:separator/>
      </w:r>
    </w:p>
  </w:footnote>
  <w:footnote w:type="continuationSeparator" w:id="0">
    <w:p w:rsidR="00EB281C" w:rsidRDefault="00EB281C" w:rsidP="006F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4" w:rsidRDefault="005F3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5C"/>
    <w:rsid w:val="000937DE"/>
    <w:rsid w:val="000C32A0"/>
    <w:rsid w:val="001A01D0"/>
    <w:rsid w:val="0033524C"/>
    <w:rsid w:val="005F3414"/>
    <w:rsid w:val="00654DAE"/>
    <w:rsid w:val="006A54D1"/>
    <w:rsid w:val="006F185C"/>
    <w:rsid w:val="008143FF"/>
    <w:rsid w:val="009C6EF5"/>
    <w:rsid w:val="00C27C1B"/>
    <w:rsid w:val="00DB20C4"/>
    <w:rsid w:val="00E51BFE"/>
    <w:rsid w:val="00EA515E"/>
    <w:rsid w:val="00E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62E94-F14D-4182-8045-278B4DCF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F18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85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F185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6F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  <w:rsid w:val="006F185C"/>
  </w:style>
  <w:style w:type="character" w:customStyle="1" w:styleId="apple-converted-space">
    <w:name w:val="apple-converted-space"/>
    <w:basedOn w:val="a0"/>
    <w:rsid w:val="006F185C"/>
  </w:style>
  <w:style w:type="character" w:styleId="a7">
    <w:name w:val="Strong"/>
    <w:basedOn w:val="a0"/>
    <w:uiPriority w:val="22"/>
    <w:qFormat/>
    <w:rsid w:val="006F185C"/>
    <w:rPr>
      <w:b/>
      <w:bCs/>
    </w:rPr>
  </w:style>
  <w:style w:type="character" w:styleId="a8">
    <w:name w:val="Hyperlink"/>
    <w:basedOn w:val="a0"/>
    <w:uiPriority w:val="99"/>
    <w:semiHidden/>
    <w:unhideWhenUsed/>
    <w:rsid w:val="006F185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41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3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fw.zju.edu.cn/zhfw/article/files/e6/11/4a33bfb841f4bd7fd853c01f4895/208c1da3-e06d-4f65-b0b1-42e236d7b87c.xls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zhfw.zju.edu.cn/zhfw/article/files/e6/11/4a33bfb841f4bd7fd853c01f4895/0c63f089-21d1-4253-831d-c5785abea4e5.doc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hfw.zju.edu.cn/zhfw/article/files/e6/11/4a33bfb841f4bd7fd853c01f4895/ef4c8d2c-7aa8-4772-b5bd-1206b3ad9cae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</Words>
  <Characters>3001</Characters>
  <Application>Microsoft Office Word</Application>
  <DocSecurity>0</DocSecurity>
  <Lines>25</Lines>
  <Paragraphs>7</Paragraphs>
  <ScaleCrop>false</ScaleCrop>
  <Company>HQJT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BKSY</cp:lastModifiedBy>
  <cp:revision>2</cp:revision>
  <cp:lastPrinted>2022-01-11T01:32:00Z</cp:lastPrinted>
  <dcterms:created xsi:type="dcterms:W3CDTF">2024-04-26T08:16:00Z</dcterms:created>
  <dcterms:modified xsi:type="dcterms:W3CDTF">2024-04-26T08:16:00Z</dcterms:modified>
</cp:coreProperties>
</file>