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240" w:lineRule="auto"/>
        <w:ind w:left="0" w:right="0"/>
        <w:jc w:val="center"/>
        <w:rPr>
          <w:rFonts w:ascii="微软雅黑" w:hAnsi="微软雅黑" w:eastAsia="微软雅黑" w:cs="微软雅黑"/>
          <w:b/>
          <w:color w:val="4B4B4B"/>
          <w:sz w:val="30"/>
          <w:szCs w:val="30"/>
        </w:rPr>
      </w:pPr>
      <w:bookmarkStart w:id="0" w:name="_GoBack"/>
      <w:r>
        <w:rPr>
          <w:rFonts w:hint="eastAsia" w:ascii="微软雅黑" w:hAnsi="微软雅黑" w:eastAsia="微软雅黑" w:cs="微软雅黑"/>
          <w:b/>
          <w:i w:val="0"/>
          <w:caps w:val="0"/>
          <w:color w:val="4B4B4B"/>
          <w:spacing w:val="0"/>
          <w:sz w:val="30"/>
          <w:szCs w:val="30"/>
          <w:bdr w:val="none" w:color="auto" w:sz="0" w:space="0"/>
          <w:shd w:val="clear" w:fill="FFFFFF"/>
        </w:rPr>
        <w:t>教育部关于一流本科课程建设的实施意见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b w:val="0"/>
          <w:i w:val="0"/>
          <w:caps w:val="0"/>
          <w:color w:val="4B4B4B"/>
          <w:spacing w:val="0"/>
          <w:sz w:val="24"/>
          <w:szCs w:val="24"/>
          <w:bdr w:val="none" w:color="auto" w:sz="0" w:space="0"/>
          <w:shd w:val="clear" w:fill="FFFFFF"/>
        </w:rPr>
        <w:t>教高〔2019〕8号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（二）总体目标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（三）基本原则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——坚持分类建设。依据高校办学定位和人才培养目标定位，建设适应创新型、复合型、应用型人才培养需要的一流本科课程，实现不同类型高校一流本科课程建设全覆盖。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提升高阶性。课程目标坚持知识、能力、素质有机融合，培养学生解决复杂问题的综合能力和高级思维。课程内容强调广度和深度，突破习惯性认知模式，培养学生深度分析、大胆质疑、勇于创新的精神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——突出创新性。教学内容体现前沿性与时代性，及时将学术研究、科技发展前沿成果引入课程。教学方法体现先进性与互动性，大力推进现代信息技术与教学深度融合，积极引导学生进行探究式与个性化学习。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增加挑战度。课程设计增加研究性、创新性、综合性内容，加大学生学习投入，科学“增负”，让学生体验“跳一跳才能够得着”的学习挑战。严格考核考试评价，增强学生经过刻苦学习收获能力和素质提高的成就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二、建设内容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四）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七）政策激励，教学热起来。以教学贡献为核心内容制定激励政策。加大课程建设的支持力度，加大优秀课程和教师的奖励力度，加大教学业绩在专业技术职务评聘中的权重，营造重视本科课程改革与建设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三、实施一流本科课程双万计划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四、组织管理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（一）教育部负责统筹指导一流本科课程建设工作，组织有关专家和机构研究制定一流本科课程建设、应用与管理的相关标准规范。公布国家级一流本科课程推荐认定结果。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二）省级教育行政部门研究制定省级一流本科课程建设实施方案，制定推动本地区一流本科课程建设与教学改革配套政策，建设省级一流本科课程。加强省级课程服务平台的管理，积极推动一流本科课程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（四）高等学校教学指导委员会要加强课程建设理论研究和分类指导，组织制订相关专业一流本科课程建设指南，引导高校汇聚优秀教师联合建设课程群，共享优质课程资源。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（五）课程服务平台承担一流本科课程服务和数据安全保障的主体责任，配合开展课程审查和线上教学活动。要不断更新并提升技术和数据服务水平，监控和打击不良学习行为。加强课程平台间的交流与合作。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（六）中央部门所属高校统筹利用“中央高校教育教学改革专项”等各类资源支持一流本科课程建设。地方高校统筹地方财政高等教育资金和中央支持地方高校改革发展资金支持一流本科课程建设。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附件：“双万计划”国家级一流本科课程推荐认定办法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2019年10月24日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“双万计划”国家级一流本科课程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i w:val="0"/>
          <w:caps w:val="0"/>
          <w:color w:val="4B4B4B"/>
          <w:spacing w:val="0"/>
          <w:sz w:val="27"/>
          <w:szCs w:val="27"/>
          <w:bdr w:val="none" w:color="auto" w:sz="0" w:space="0"/>
          <w:shd w:val="clear" w:fill="FFFFFF"/>
        </w:rPr>
        <w:t>推荐认定办法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一、推荐范围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普通本科高校纳入人才培养方案且设置学分的本科课程均可推荐，包括思想政治理论课、公共基础课、专业基础课、专业课以及通识课等独立设置的本科理论课程、实验课程和社会实践课程等。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二、推荐类型与计划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一）线上一流课程。即国家精品在线开放课程，突出优质、开放、共享，打造中国慕课品牌。完成4000门左右国家精品在线开放课程认定，构建内容更加丰富、结构更加合理、类别更加全面的国家级精品慕课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三、推荐条件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（一）教学理念先进。坚持立德树人，体现以学生发展为中心，致力于开启学生内在潜力和学习动力，注重学生德智体美劳全面发展。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（三）课程目标有效支撑培养目标达成。课程目标符合学校办学定位和人才培养目标，注重知识、能力、素质培养。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（四）课程教学设计科学合理。围绕目标达成、教学内容、组织实施和多元评价需求进行整体规划，教学策略、教学方法、教学过程、教学评价等设计合理。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（六）教学组织与实施突出学生中心地位。根据学生认知规律和接受特点，创新教与学模式，因材施教，促进师生之间、学生之间的交流互动、资源共享、知识生成，教学反馈及时，教学效果显著。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（七）课程管理与评价科学且可测量。教师备课要求明确，学生学习管理严格。针对教学目标、教学内容、教学组织等采用多元化考核评价，过程可回溯，诊断改进积极有效。教学过程材料完整，可借鉴可监督。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四、推荐方式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除线上一流课程、虚拟仿真实验教学一流课程继续按有关文件实施外，线下一流课程、线上线下混合式一流课程和社会实践一流课程采用以下推荐方式。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（一）推荐总额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教育部按照国家级线下一流课程、线上线下混合式一流课程和社会实践一流课程三年计划总数确定推荐总额，分别下达至中央部门所属高校和各省级教育行政部门。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（二）分赛道推荐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按照中央部门所属高校、地方高校的办学定位和培养目标特点分赛道推荐，名额分列。部省合建高校推荐课程纳入中央部门所属高校赛道。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（三）推荐方式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（四）推荐材料要求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课程团队须提交申报书、时长10分钟内的说课视频（包括教学理念、课程设计、课程实施、改革成效等）和其他佐证材料。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五、认定方式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教育部分年度组织专家对推荐课程进行认定，经公示后向社会发布。对课程团队成员存在师德师风问题、学术不端问题、五年内出现过重大教学事故，课程内容存在思想性科学性问题的，实行一票否决。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w:t>
      </w:r>
      <w:r>
        <w:rPr>
          <w:rFonts w:hint="eastAsia" w:ascii="微软雅黑" w:hAnsi="微软雅黑" w:eastAsia="微软雅黑" w:cs="微软雅黑"/>
          <w:b/>
          <w:i w:val="0"/>
          <w:caps w:val="0"/>
          <w:color w:val="4B4B4B"/>
          <w:spacing w:val="0"/>
          <w:sz w:val="27"/>
          <w:szCs w:val="27"/>
          <w:bdr w:val="none" w:color="auto" w:sz="0" w:space="0"/>
          <w:shd w:val="clear" w:fill="FFFFFF"/>
        </w:rPr>
        <w:t>六、认定课程管理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b w:val="0"/>
          <w:i w:val="0"/>
          <w:caps w:val="0"/>
          <w:color w:val="4B4B4B"/>
          <w:spacing w:val="0"/>
          <w:sz w:val="27"/>
          <w:szCs w:val="27"/>
        </w:rPr>
      </w:pPr>
      <w:r>
        <w:rPr>
          <w:rFonts w:hint="eastAsia" w:ascii="微软雅黑" w:hAnsi="微软雅黑" w:eastAsia="微软雅黑" w:cs="微软雅黑"/>
          <w:b w:val="0"/>
          <w:i w:val="0"/>
          <w:caps w:val="0"/>
          <w:color w:val="4B4B4B"/>
          <w:spacing w:val="0"/>
          <w:sz w:val="27"/>
          <w:szCs w:val="27"/>
          <w:bdr w:val="none" w:color="auto" w:sz="0" w:space="0"/>
          <w:shd w:val="clear" w:fill="FFFFFF"/>
        </w:rPr>
        <w:t>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9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WZ7040</dc:creator>
  <cp:lastModifiedBy>顾颖杰</cp:lastModifiedBy>
  <dcterms:modified xsi:type="dcterms:W3CDTF">2019-11-01T06:59:03Z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