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Theme="minorEastAsia" w:hAnsiTheme="minorEastAsia"/>
          <w:b/>
          <w:sz w:val="28"/>
          <w:szCs w:val="28"/>
        </w:rPr>
      </w:pPr>
      <w:bookmarkStart w:id="2" w:name="_GoBack"/>
      <w:bookmarkEnd w:id="2"/>
      <w:r>
        <w:rPr>
          <w:rFonts w:hint="eastAsia" w:asciiTheme="minorEastAsia" w:hAnsiTheme="minorEastAsia"/>
          <w:b/>
          <w:sz w:val="28"/>
          <w:szCs w:val="28"/>
        </w:rPr>
        <w:t>2019 光电科学与工程学院主修专业确认工作细则</w:t>
      </w:r>
    </w:p>
    <w:p>
      <w:pPr>
        <w:spacing w:line="360" w:lineRule="auto"/>
        <w:jc w:val="center"/>
        <w:rPr>
          <w:rFonts w:asciiTheme="minorEastAsia" w:hAnsiTheme="minorEastAsia"/>
          <w:b/>
          <w:sz w:val="28"/>
          <w:szCs w:val="28"/>
        </w:rPr>
      </w:pPr>
    </w:p>
    <w:p>
      <w:pPr>
        <w:snapToGrid w:val="0"/>
        <w:spacing w:line="360" w:lineRule="auto"/>
        <w:ind w:firstLine="315" w:firstLineChars="150"/>
        <w:rPr>
          <w:rFonts w:asciiTheme="minorEastAsia" w:hAnsiTheme="minorEastAsia"/>
          <w:szCs w:val="21"/>
        </w:rPr>
      </w:pPr>
      <w:r>
        <w:rPr>
          <w:rFonts w:hint="eastAsia" w:asciiTheme="minorEastAsia" w:hAnsiTheme="minorEastAsia"/>
          <w:szCs w:val="21"/>
        </w:rPr>
        <w:t>2019 光电科学与工程学院主修专业确认工作由光电学院主修专业确认工作小组负责进行。学院按照浙大发本</w:t>
      </w:r>
      <w:r>
        <w:rPr>
          <w:rFonts w:asciiTheme="minorEastAsia" w:hAnsiTheme="minorEastAsia"/>
          <w:szCs w:val="21"/>
        </w:rPr>
        <w:t>〔</w:t>
      </w:r>
      <w:r>
        <w:rPr>
          <w:rFonts w:hint="eastAsia" w:asciiTheme="minorEastAsia" w:hAnsiTheme="minorEastAsia"/>
          <w:szCs w:val="21"/>
        </w:rPr>
        <w:t>2016</w:t>
      </w:r>
      <w:r>
        <w:rPr>
          <w:rFonts w:asciiTheme="minorEastAsia" w:hAnsiTheme="minorEastAsia"/>
          <w:szCs w:val="21"/>
        </w:rPr>
        <w:t>〕</w:t>
      </w:r>
      <w:r>
        <w:rPr>
          <w:rFonts w:hint="eastAsia" w:asciiTheme="minorEastAsia" w:hAnsiTheme="minorEastAsia"/>
          <w:szCs w:val="21"/>
        </w:rPr>
        <w:t>109号《浙江大学本科生主修专业确认办法》制定工作细则。</w:t>
      </w:r>
    </w:p>
    <w:p>
      <w:pPr>
        <w:numPr>
          <w:ilvl w:val="0"/>
          <w:numId w:val="1"/>
        </w:numPr>
        <w:snapToGrid w:val="0"/>
        <w:spacing w:before="156" w:beforeLines="50" w:line="360" w:lineRule="auto"/>
        <w:ind w:left="454" w:hanging="422" w:hangingChars="200"/>
        <w:rPr>
          <w:rFonts w:asciiTheme="minorEastAsia" w:hAnsiTheme="minorEastAsia"/>
          <w:b/>
          <w:szCs w:val="21"/>
        </w:rPr>
      </w:pPr>
      <w:r>
        <w:rPr>
          <w:rFonts w:hint="eastAsia" w:asciiTheme="minorEastAsia" w:hAnsiTheme="minorEastAsia"/>
          <w:b/>
          <w:szCs w:val="21"/>
        </w:rPr>
        <w:t>主修专业确认工作小组</w:t>
      </w:r>
    </w:p>
    <w:p>
      <w:pPr>
        <w:adjustRightInd w:val="0"/>
        <w:snapToGrid w:val="0"/>
        <w:spacing w:before="93" w:beforeLines="30" w:line="360" w:lineRule="auto"/>
        <w:ind w:firstLine="420" w:firstLineChars="200"/>
        <w:rPr>
          <w:rFonts w:asciiTheme="minorEastAsia" w:hAnsiTheme="minorEastAsia"/>
          <w:szCs w:val="21"/>
        </w:rPr>
      </w:pPr>
      <w:r>
        <w:rPr>
          <w:rFonts w:hint="eastAsia" w:asciiTheme="minorEastAsia" w:hAnsiTheme="minorEastAsia"/>
          <w:szCs w:val="21"/>
        </w:rPr>
        <w:t>组长：学院教学副院长</w:t>
      </w:r>
    </w:p>
    <w:p>
      <w:pPr>
        <w:adjustRightInd w:val="0"/>
        <w:snapToGrid w:val="0"/>
        <w:spacing w:before="93" w:beforeLines="30" w:line="360" w:lineRule="auto"/>
        <w:ind w:left="945" w:leftChars="200" w:hanging="525" w:hangingChars="250"/>
        <w:rPr>
          <w:rFonts w:cs="宋体" w:asciiTheme="minorEastAsia" w:hAnsiTheme="minorEastAsia"/>
          <w:color w:val="000000"/>
          <w:kern w:val="0"/>
          <w:szCs w:val="21"/>
        </w:rPr>
      </w:pPr>
      <w:r>
        <w:rPr>
          <w:rFonts w:hint="eastAsia" w:asciiTheme="minorEastAsia" w:hAnsiTheme="minorEastAsia"/>
          <w:szCs w:val="21"/>
        </w:rPr>
        <w:t>成员：</w:t>
      </w:r>
      <w:r>
        <w:rPr>
          <w:rFonts w:hint="eastAsia" w:cs="宋体" w:asciiTheme="minorEastAsia" w:hAnsiTheme="minorEastAsia"/>
          <w:color w:val="000000"/>
          <w:kern w:val="0"/>
          <w:szCs w:val="21"/>
        </w:rPr>
        <w:t>各所教学副所长、教育教学办公室成员</w:t>
      </w:r>
    </w:p>
    <w:p>
      <w:pPr>
        <w:numPr>
          <w:ilvl w:val="0"/>
          <w:numId w:val="1"/>
        </w:numPr>
        <w:snapToGrid w:val="0"/>
        <w:spacing w:before="156" w:beforeLines="50" w:line="360" w:lineRule="auto"/>
        <w:ind w:left="454" w:hanging="422" w:hangingChars="200"/>
        <w:rPr>
          <w:rFonts w:asciiTheme="minorEastAsia" w:hAnsiTheme="minorEastAsia"/>
          <w:b/>
          <w:szCs w:val="21"/>
        </w:rPr>
      </w:pPr>
      <w:r>
        <w:rPr>
          <w:rFonts w:hint="eastAsia" w:asciiTheme="minorEastAsia" w:hAnsiTheme="minorEastAsia"/>
          <w:b/>
          <w:szCs w:val="21"/>
        </w:rPr>
        <w:t>主修专业确认容量</w:t>
      </w:r>
    </w:p>
    <w:tbl>
      <w:tblPr>
        <w:tblStyle w:val="6"/>
        <w:tblW w:w="850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2"/>
        <w:gridCol w:w="1134"/>
        <w:gridCol w:w="1701"/>
        <w:gridCol w:w="1559"/>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8" w:hRule="atLeast"/>
        </w:trPr>
        <w:tc>
          <w:tcPr>
            <w:tcW w:w="2552" w:type="dxa"/>
            <w:vAlign w:val="center"/>
          </w:tcPr>
          <w:p>
            <w:pPr>
              <w:jc w:val="center"/>
              <w:rPr>
                <w:rFonts w:asciiTheme="minorEastAsia" w:hAnsiTheme="minorEastAsia"/>
                <w:szCs w:val="21"/>
              </w:rPr>
            </w:pPr>
            <w:r>
              <w:rPr>
                <w:rFonts w:hint="eastAsia" w:asciiTheme="minorEastAsia" w:hAnsiTheme="minorEastAsia"/>
                <w:szCs w:val="21"/>
              </w:rPr>
              <w:t>专业基本容量</w:t>
            </w:r>
          </w:p>
          <w:p>
            <w:pPr>
              <w:jc w:val="center"/>
              <w:rPr>
                <w:rFonts w:asciiTheme="minorEastAsia" w:hAnsiTheme="minorEastAsia"/>
                <w:szCs w:val="21"/>
              </w:rPr>
            </w:pPr>
            <w:r>
              <w:rPr>
                <w:rFonts w:hint="eastAsia" w:asciiTheme="minorEastAsia" w:hAnsiTheme="minorEastAsia"/>
                <w:szCs w:val="21"/>
              </w:rPr>
              <w:t>（人）</w:t>
            </w:r>
          </w:p>
        </w:tc>
        <w:tc>
          <w:tcPr>
            <w:tcW w:w="1134" w:type="dxa"/>
            <w:vAlign w:val="center"/>
          </w:tcPr>
          <w:p>
            <w:pPr>
              <w:jc w:val="center"/>
              <w:rPr>
                <w:rFonts w:asciiTheme="minorEastAsia" w:hAnsiTheme="minorEastAsia"/>
                <w:szCs w:val="21"/>
              </w:rPr>
            </w:pPr>
            <w:r>
              <w:rPr>
                <w:rFonts w:hint="eastAsia" w:asciiTheme="minorEastAsia" w:hAnsiTheme="minorEastAsia"/>
                <w:szCs w:val="21"/>
              </w:rPr>
              <w:t>扩容率</w:t>
            </w:r>
          </w:p>
        </w:tc>
        <w:tc>
          <w:tcPr>
            <w:tcW w:w="1701" w:type="dxa"/>
            <w:vAlign w:val="center"/>
          </w:tcPr>
          <w:p>
            <w:pPr>
              <w:jc w:val="center"/>
              <w:rPr>
                <w:rFonts w:asciiTheme="minorEastAsia" w:hAnsiTheme="minorEastAsia"/>
                <w:szCs w:val="21"/>
              </w:rPr>
            </w:pPr>
            <w:r>
              <w:rPr>
                <w:rFonts w:hint="eastAsia" w:asciiTheme="minorEastAsia" w:hAnsiTheme="minorEastAsia"/>
                <w:szCs w:val="21"/>
              </w:rPr>
              <w:t>第二轮容量</w:t>
            </w:r>
          </w:p>
          <w:p>
            <w:pPr>
              <w:jc w:val="center"/>
              <w:rPr>
                <w:rFonts w:asciiTheme="minorEastAsia" w:hAnsiTheme="minorEastAsia"/>
                <w:szCs w:val="21"/>
              </w:rPr>
            </w:pPr>
            <w:r>
              <w:rPr>
                <w:rFonts w:hint="eastAsia" w:asciiTheme="minorEastAsia" w:hAnsiTheme="minorEastAsia"/>
                <w:szCs w:val="21"/>
              </w:rPr>
              <w:t>18%</w:t>
            </w:r>
          </w:p>
        </w:tc>
        <w:tc>
          <w:tcPr>
            <w:tcW w:w="1559" w:type="dxa"/>
            <w:vAlign w:val="center"/>
          </w:tcPr>
          <w:p>
            <w:pPr>
              <w:jc w:val="center"/>
              <w:rPr>
                <w:rFonts w:asciiTheme="minorEastAsia" w:hAnsiTheme="minorEastAsia"/>
                <w:szCs w:val="21"/>
              </w:rPr>
            </w:pPr>
            <w:r>
              <w:rPr>
                <w:rFonts w:hint="eastAsia" w:asciiTheme="minorEastAsia" w:hAnsiTheme="minorEastAsia"/>
                <w:szCs w:val="21"/>
              </w:rPr>
              <w:t>转专业容量</w:t>
            </w:r>
          </w:p>
          <w:p>
            <w:pPr>
              <w:jc w:val="center"/>
              <w:rPr>
                <w:rFonts w:asciiTheme="minorEastAsia" w:hAnsiTheme="minorEastAsia"/>
                <w:szCs w:val="21"/>
              </w:rPr>
            </w:pPr>
            <w:r>
              <w:rPr>
                <w:rFonts w:hint="eastAsia" w:asciiTheme="minorEastAsia" w:hAnsiTheme="minorEastAsia"/>
                <w:szCs w:val="21"/>
              </w:rPr>
              <w:t>2%</w:t>
            </w:r>
          </w:p>
        </w:tc>
        <w:tc>
          <w:tcPr>
            <w:tcW w:w="1559" w:type="dxa"/>
            <w:vAlign w:val="center"/>
          </w:tcPr>
          <w:p>
            <w:pPr>
              <w:jc w:val="center"/>
              <w:rPr>
                <w:rFonts w:asciiTheme="minorEastAsia" w:hAnsiTheme="minorEastAsia"/>
                <w:szCs w:val="21"/>
              </w:rPr>
            </w:pPr>
            <w:r>
              <w:rPr>
                <w:rFonts w:hint="eastAsia" w:asciiTheme="minorEastAsia" w:hAnsiTheme="minorEastAsia"/>
                <w:szCs w:val="21"/>
              </w:rPr>
              <w:t>专业接收容量</w:t>
            </w:r>
          </w:p>
          <w:p>
            <w:pPr>
              <w:jc w:val="center"/>
              <w:rPr>
                <w:rFonts w:asciiTheme="minorEastAsia" w:hAnsiTheme="minorEastAsia"/>
                <w:szCs w:val="21"/>
              </w:rPr>
            </w:pPr>
            <w:r>
              <w:rPr>
                <w:rFonts w:hint="eastAsia" w:asciiTheme="minorEastAsia" w:hAnsiTheme="minorEastAsia"/>
                <w:szCs w:val="21"/>
              </w:rPr>
              <w:t>（人）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552" w:type="dxa"/>
            <w:vAlign w:val="center"/>
          </w:tcPr>
          <w:p>
            <w:pPr>
              <w:jc w:val="center"/>
              <w:rPr>
                <w:rFonts w:hint="eastAsia" w:asciiTheme="minorEastAsia" w:hAnsiTheme="minorEastAsia"/>
                <w:szCs w:val="21"/>
              </w:rPr>
            </w:pPr>
            <w:r>
              <w:rPr>
                <w:rFonts w:hint="eastAsia" w:asciiTheme="minorEastAsia" w:hAnsiTheme="minorEastAsia"/>
                <w:szCs w:val="21"/>
              </w:rPr>
              <w:t>96</w:t>
            </w:r>
          </w:p>
          <w:p>
            <w:pPr>
              <w:jc w:val="center"/>
              <w:rPr>
                <w:rFonts w:asciiTheme="minorEastAsia" w:hAnsiTheme="minorEastAsia"/>
                <w:szCs w:val="21"/>
              </w:rPr>
            </w:pPr>
            <w:r>
              <w:rPr>
                <w:rFonts w:hint="eastAsia" w:asciiTheme="minorEastAsia" w:hAnsiTheme="minorEastAsia"/>
                <w:szCs w:val="21"/>
              </w:rPr>
              <w:t>（含三位一体和专业招生）</w:t>
            </w:r>
          </w:p>
        </w:tc>
        <w:tc>
          <w:tcPr>
            <w:tcW w:w="1134" w:type="dxa"/>
            <w:vAlign w:val="center"/>
          </w:tcPr>
          <w:p>
            <w:pPr>
              <w:jc w:val="center"/>
              <w:rPr>
                <w:rFonts w:asciiTheme="minorEastAsia" w:hAnsiTheme="minorEastAsia"/>
                <w:b/>
                <w:szCs w:val="21"/>
              </w:rPr>
            </w:pPr>
            <w:r>
              <w:rPr>
                <w:rFonts w:asciiTheme="minorEastAsia" w:hAnsiTheme="minorEastAsia"/>
                <w:b/>
                <w:szCs w:val="21"/>
              </w:rPr>
              <w:t>20%</w:t>
            </w:r>
          </w:p>
        </w:tc>
        <w:tc>
          <w:tcPr>
            <w:tcW w:w="1701" w:type="dxa"/>
            <w:vAlign w:val="center"/>
          </w:tcPr>
          <w:p>
            <w:pPr>
              <w:jc w:val="center"/>
              <w:rPr>
                <w:rFonts w:asciiTheme="minorEastAsia" w:hAnsiTheme="minorEastAsia"/>
                <w:b/>
                <w:szCs w:val="21"/>
              </w:rPr>
            </w:pPr>
            <w:r>
              <w:rPr>
                <w:rFonts w:hint="eastAsia" w:asciiTheme="minorEastAsia" w:hAnsiTheme="minorEastAsia"/>
                <w:b/>
                <w:szCs w:val="21"/>
              </w:rPr>
              <w:t>17</w:t>
            </w:r>
          </w:p>
        </w:tc>
        <w:tc>
          <w:tcPr>
            <w:tcW w:w="1559" w:type="dxa"/>
            <w:vAlign w:val="center"/>
          </w:tcPr>
          <w:p>
            <w:pPr>
              <w:jc w:val="center"/>
              <w:rPr>
                <w:rFonts w:asciiTheme="minorEastAsia" w:hAnsiTheme="minorEastAsia"/>
                <w:b/>
                <w:szCs w:val="21"/>
              </w:rPr>
            </w:pPr>
            <w:r>
              <w:rPr>
                <w:rFonts w:hint="eastAsia" w:asciiTheme="minorEastAsia" w:hAnsiTheme="minorEastAsia"/>
                <w:b/>
                <w:szCs w:val="21"/>
              </w:rPr>
              <w:t>2</w:t>
            </w:r>
          </w:p>
        </w:tc>
        <w:tc>
          <w:tcPr>
            <w:tcW w:w="1559" w:type="dxa"/>
            <w:vAlign w:val="center"/>
          </w:tcPr>
          <w:p>
            <w:pPr>
              <w:jc w:val="center"/>
              <w:rPr>
                <w:rFonts w:asciiTheme="minorEastAsia" w:hAnsiTheme="minorEastAsia"/>
                <w:b/>
                <w:szCs w:val="21"/>
              </w:rPr>
            </w:pPr>
            <w:r>
              <w:rPr>
                <w:rFonts w:hint="eastAsia" w:asciiTheme="minorEastAsia" w:hAnsiTheme="minorEastAsia"/>
                <w:b/>
                <w:szCs w:val="21"/>
              </w:rPr>
              <w:t>115</w:t>
            </w:r>
          </w:p>
        </w:tc>
      </w:tr>
    </w:tbl>
    <w:p>
      <w:pPr>
        <w:numPr>
          <w:ilvl w:val="0"/>
          <w:numId w:val="1"/>
        </w:numPr>
        <w:snapToGrid w:val="0"/>
        <w:spacing w:before="156" w:beforeLines="50" w:line="360" w:lineRule="auto"/>
        <w:ind w:left="454" w:hanging="422" w:hangingChars="200"/>
        <w:rPr>
          <w:rFonts w:asciiTheme="minorEastAsia" w:hAnsiTheme="minorEastAsia"/>
          <w:b/>
          <w:szCs w:val="21"/>
        </w:rPr>
      </w:pPr>
      <w:r>
        <w:rPr>
          <w:rFonts w:hint="eastAsia" w:asciiTheme="minorEastAsia" w:hAnsiTheme="minorEastAsia"/>
          <w:b/>
          <w:szCs w:val="21"/>
        </w:rPr>
        <w:t>主修专业确认方法与程序</w:t>
      </w:r>
    </w:p>
    <w:p>
      <w:pPr>
        <w:pStyle w:val="11"/>
        <w:numPr>
          <w:ilvl w:val="0"/>
          <w:numId w:val="2"/>
        </w:numPr>
        <w:spacing w:line="360" w:lineRule="auto"/>
        <w:ind w:firstLineChars="0"/>
        <w:rPr>
          <w:rFonts w:asciiTheme="minorEastAsia" w:hAnsiTheme="minorEastAsia"/>
          <w:b/>
          <w:szCs w:val="21"/>
        </w:rPr>
      </w:pPr>
      <w:r>
        <w:rPr>
          <w:rFonts w:hint="eastAsia" w:asciiTheme="minorEastAsia" w:hAnsiTheme="minorEastAsia"/>
          <w:b/>
          <w:szCs w:val="21"/>
        </w:rPr>
        <w:t>第一轮确认</w:t>
      </w:r>
    </w:p>
    <w:p>
      <w:pPr>
        <w:pStyle w:val="11"/>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申请主体：类内学生</w:t>
      </w:r>
    </w:p>
    <w:p>
      <w:pPr>
        <w:pStyle w:val="11"/>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申请时间：第一学年秋学期</w:t>
      </w:r>
    </w:p>
    <w:p>
      <w:pPr>
        <w:pStyle w:val="11"/>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容量：专业基本容量</w:t>
      </w:r>
    </w:p>
    <w:p>
      <w:pPr>
        <w:pStyle w:val="11"/>
        <w:numPr>
          <w:ilvl w:val="0"/>
          <w:numId w:val="3"/>
        </w:numPr>
        <w:spacing w:line="360" w:lineRule="auto"/>
        <w:ind w:firstLineChars="0"/>
        <w:rPr>
          <w:rFonts w:asciiTheme="minorEastAsia" w:hAnsiTheme="minorEastAsia"/>
          <w:szCs w:val="21"/>
        </w:rPr>
      </w:pPr>
      <w:r>
        <w:rPr>
          <w:rFonts w:hint="eastAsia" w:asciiTheme="minorEastAsia" w:hAnsiTheme="minorEastAsia"/>
          <w:szCs w:val="21"/>
        </w:rPr>
        <w:t>确认方法：</w:t>
      </w:r>
    </w:p>
    <w:p>
      <w:pPr>
        <w:pStyle w:val="11"/>
        <w:numPr>
          <w:ilvl w:val="0"/>
          <w:numId w:val="4"/>
        </w:numPr>
        <w:autoSpaceDE w:val="0"/>
        <w:autoSpaceDN w:val="0"/>
        <w:adjustRightInd w:val="0"/>
        <w:snapToGrid w:val="0"/>
        <w:spacing w:before="93" w:beforeLines="30" w:line="360" w:lineRule="auto"/>
        <w:ind w:firstLineChars="0"/>
        <w:jc w:val="left"/>
        <w:rPr>
          <w:rFonts w:asciiTheme="minorEastAsia" w:hAnsiTheme="minorEastAsia"/>
          <w:szCs w:val="21"/>
        </w:rPr>
      </w:pPr>
      <w:r>
        <w:rPr>
          <w:rFonts w:hint="eastAsia" w:asciiTheme="minorEastAsia" w:hAnsiTheme="minorEastAsia"/>
          <w:szCs w:val="21"/>
        </w:rPr>
        <w:t>当申请人数累计不大于专业基本容量时，申请学生全部确认进入该专业；</w:t>
      </w:r>
    </w:p>
    <w:p>
      <w:pPr>
        <w:pStyle w:val="11"/>
        <w:numPr>
          <w:ilvl w:val="0"/>
          <w:numId w:val="4"/>
        </w:numPr>
        <w:autoSpaceDE w:val="0"/>
        <w:autoSpaceDN w:val="0"/>
        <w:adjustRightInd w:val="0"/>
        <w:snapToGrid w:val="0"/>
        <w:spacing w:before="93" w:beforeLines="30" w:line="360" w:lineRule="auto"/>
        <w:ind w:firstLineChars="0"/>
        <w:jc w:val="left"/>
        <w:rPr>
          <w:rFonts w:asciiTheme="minorEastAsia" w:hAnsiTheme="minorEastAsia"/>
          <w:szCs w:val="21"/>
        </w:rPr>
      </w:pPr>
      <w:r>
        <w:rPr>
          <w:rFonts w:hint="eastAsia" w:asciiTheme="minorEastAsia" w:hAnsiTheme="minorEastAsia"/>
          <w:szCs w:val="21"/>
        </w:rPr>
        <w:t>当申请人数累计大于专业基本容量时，具体程序如下：</w:t>
      </w:r>
    </w:p>
    <w:p>
      <w:pPr>
        <w:autoSpaceDE w:val="0"/>
        <w:autoSpaceDN w:val="0"/>
        <w:adjustRightInd w:val="0"/>
        <w:snapToGrid w:val="0"/>
        <w:spacing w:before="93" w:beforeLines="30" w:line="360" w:lineRule="auto"/>
        <w:ind w:firstLine="525" w:firstLineChars="250"/>
        <w:jc w:val="left"/>
        <w:rPr>
          <w:rFonts w:asciiTheme="minorEastAsia" w:hAnsiTheme="minorEastAsia"/>
          <w:szCs w:val="21"/>
        </w:rPr>
      </w:pPr>
      <w:r>
        <w:rPr>
          <w:rFonts w:hint="eastAsia" w:asciiTheme="minorEastAsia" w:hAnsiTheme="minorEastAsia"/>
          <w:szCs w:val="21"/>
        </w:rPr>
        <w:t>当第一志愿申请学生数大于专业基本容量时，学院将组织面试。</w:t>
      </w:r>
    </w:p>
    <w:p>
      <w:pPr>
        <w:spacing w:line="360" w:lineRule="auto"/>
        <w:ind w:firstLine="555"/>
        <w:rPr>
          <w:rFonts w:asciiTheme="minorEastAsia" w:hAnsiTheme="minorEastAsia"/>
          <w:szCs w:val="21"/>
        </w:rPr>
      </w:pPr>
      <w:r>
        <w:rPr>
          <w:rFonts w:hint="eastAsia" w:asciiTheme="minorEastAsia" w:hAnsiTheme="minorEastAsia"/>
          <w:szCs w:val="21"/>
        </w:rPr>
        <w:t>当第一志愿人数小于专业基本容量，但总申请人数（第一至第N志愿）累计大于专业基本容量时，专业将按学生专业志愿优先级，自前向后、分批次进行确认，第一至第N-1志愿的学生免面试，第N志愿的同学将参加面试。</w:t>
      </w:r>
    </w:p>
    <w:p>
      <w:pPr>
        <w:spacing w:line="360" w:lineRule="auto"/>
        <w:ind w:firstLine="555"/>
        <w:rPr>
          <w:rFonts w:asciiTheme="minorEastAsia" w:hAnsiTheme="minorEastAsia"/>
          <w:szCs w:val="21"/>
        </w:rPr>
      </w:pPr>
      <w:r>
        <w:rPr>
          <w:rFonts w:hint="eastAsia" w:asciiTheme="minorEastAsia" w:hAnsiTheme="minorEastAsia"/>
          <w:szCs w:val="21"/>
        </w:rPr>
        <w:t>面试主要考察学生的专业兴趣、综合素养等，学生按综合成绩分从高到低进行录取。</w:t>
      </w:r>
    </w:p>
    <w:p>
      <w:pPr>
        <w:pStyle w:val="11"/>
        <w:autoSpaceDE w:val="0"/>
        <w:autoSpaceDN w:val="0"/>
        <w:adjustRightInd w:val="0"/>
        <w:snapToGrid w:val="0"/>
        <w:spacing w:before="93" w:beforeLines="30" w:line="360" w:lineRule="auto"/>
        <w:ind w:left="840" w:firstLine="0" w:firstLineChars="0"/>
        <w:jc w:val="left"/>
        <w:rPr>
          <w:rFonts w:asciiTheme="minorEastAsia" w:hAnsiTheme="minorEastAsia"/>
          <w:szCs w:val="21"/>
        </w:rPr>
      </w:pPr>
      <w:r>
        <w:rPr>
          <w:rFonts w:hint="eastAsia" w:asciiTheme="minorEastAsia" w:hAnsiTheme="minorEastAsia"/>
          <w:szCs w:val="21"/>
        </w:rPr>
        <w:t>综合成绩计算公式：</w:t>
      </w:r>
    </w:p>
    <w:p>
      <w:pPr>
        <w:pStyle w:val="11"/>
        <w:autoSpaceDE w:val="0"/>
        <w:autoSpaceDN w:val="0"/>
        <w:adjustRightInd w:val="0"/>
        <w:snapToGrid w:val="0"/>
        <w:spacing w:before="93" w:beforeLines="30" w:line="360" w:lineRule="auto"/>
        <w:ind w:left="840" w:firstLine="0" w:firstLineChars="0"/>
        <w:jc w:val="left"/>
        <w:rPr>
          <w:rFonts w:asciiTheme="minorEastAsia" w:hAnsiTheme="minorEastAsia"/>
          <w:szCs w:val="21"/>
        </w:rPr>
      </w:pPr>
      <w:r>
        <w:rPr>
          <w:rFonts w:hint="eastAsia" w:asciiTheme="minorEastAsia" w:hAnsiTheme="minorEastAsia"/>
          <w:szCs w:val="21"/>
        </w:rPr>
        <w:t>综合成绩=高考相对成绩60%+面试成绩40%</w:t>
      </w:r>
    </w:p>
    <w:p>
      <w:pPr>
        <w:pStyle w:val="11"/>
        <w:autoSpaceDE w:val="0"/>
        <w:autoSpaceDN w:val="0"/>
        <w:adjustRightInd w:val="0"/>
        <w:snapToGrid w:val="0"/>
        <w:spacing w:before="93" w:beforeLines="30" w:line="360" w:lineRule="auto"/>
        <w:ind w:left="840" w:firstLine="0" w:firstLineChars="0"/>
        <w:jc w:val="left"/>
        <w:rPr>
          <w:rFonts w:asciiTheme="minorEastAsia" w:hAnsiTheme="minorEastAsia"/>
          <w:szCs w:val="21"/>
        </w:rPr>
      </w:pPr>
      <w:r>
        <w:rPr>
          <w:rFonts w:hint="eastAsia" w:asciiTheme="minorEastAsia" w:hAnsiTheme="minorEastAsia"/>
          <w:szCs w:val="21"/>
        </w:rPr>
        <w:t>高考相对成绩=</w:t>
      </w:r>
      <m:oMath>
        <m:f>
          <m:fPr>
            <m:ctrlPr>
              <w:rPr>
                <w:rFonts w:ascii="Cambria Math" w:hAnsi="Cambria Math"/>
                <w:szCs w:val="21"/>
              </w:rPr>
            </m:ctrlPr>
          </m:fPr>
          <m:num>
            <m:r>
              <m:rPr>
                <m:sty m:val="p"/>
              </m:rPr>
              <w:rPr>
                <w:rFonts w:ascii="Cambria Math" w:hAnsi="Cambria Math"/>
                <w:szCs w:val="21"/>
              </w:rPr>
              <m:t>学生高考成绩（文/理科）</m:t>
            </m:r>
            <m:ctrlPr>
              <w:rPr>
                <w:rFonts w:ascii="Cambria Math" w:hAnsi="Cambria Math"/>
                <w:szCs w:val="21"/>
              </w:rPr>
            </m:ctrlPr>
          </m:num>
          <m:den>
            <m:r>
              <m:rPr>
                <m:sty m:val="p"/>
              </m:rPr>
              <w:rPr>
                <w:rFonts w:ascii="Cambria Math" w:hAnsi="Cambria Math"/>
                <w:szCs w:val="21"/>
              </w:rPr>
              <m:t>生源地省市的</m:t>
            </m:r>
            <m:d>
              <m:dPr>
                <m:begChr m:val="（"/>
                <m:endChr m:val="）"/>
                <m:ctrlPr>
                  <w:rPr>
                    <w:rFonts w:ascii="Cambria Math" w:hAnsi="Cambria Math"/>
                    <w:szCs w:val="21"/>
                  </w:rPr>
                </m:ctrlPr>
              </m:dPr>
              <m:e>
                <m:r>
                  <m:rPr>
                    <m:sty m:val="p"/>
                  </m:rPr>
                  <w:rPr>
                    <w:rFonts w:ascii="Cambria Math" w:hAnsi="Cambria Math"/>
                    <w:szCs w:val="21"/>
                  </w:rPr>
                  <m:t>文/理</m:t>
                </m:r>
                <m:ctrlPr>
                  <w:rPr>
                    <w:rFonts w:ascii="Cambria Math" w:hAnsi="Cambria Math"/>
                    <w:szCs w:val="21"/>
                  </w:rPr>
                </m:ctrlPr>
              </m:e>
            </m:d>
            <m:r>
              <m:rPr>
                <m:sty m:val="p"/>
              </m:rPr>
              <w:rPr>
                <w:rFonts w:ascii="Cambria Math" w:hAnsi="Cambria Math"/>
                <w:szCs w:val="21"/>
              </w:rPr>
              <m:t>最高高考成绩</m:t>
            </m:r>
            <m:ctrlPr>
              <w:rPr>
                <w:rFonts w:ascii="Cambria Math" w:hAnsi="Cambria Math"/>
                <w:szCs w:val="21"/>
              </w:rPr>
            </m:ctrlPr>
          </m:den>
        </m:f>
      </m:oMath>
      <w:r>
        <w:rPr>
          <w:rFonts w:hint="eastAsia" w:asciiTheme="minorEastAsia" w:hAnsiTheme="minorEastAsia"/>
          <w:szCs w:val="21"/>
        </w:rPr>
        <w:t xml:space="preserve">  </w:t>
      </w:r>
      <w:r>
        <w:rPr>
          <w:rFonts w:asciiTheme="minorEastAsia" w:hAnsiTheme="minorEastAsia"/>
          <w:szCs w:val="21"/>
        </w:rPr>
        <w:t>×</w:t>
      </w:r>
      <w:r>
        <w:rPr>
          <w:rFonts w:hint="eastAsia" w:asciiTheme="minorEastAsia" w:hAnsiTheme="minorEastAsia"/>
          <w:szCs w:val="21"/>
        </w:rPr>
        <w:t>100</w:t>
      </w:r>
    </w:p>
    <w:p>
      <w:pPr>
        <w:pStyle w:val="11"/>
        <w:spacing w:line="360" w:lineRule="auto"/>
        <w:ind w:left="420" w:firstLine="0" w:firstLineChars="0"/>
        <w:rPr>
          <w:rFonts w:ascii="宋体" w:hAnsi="宋体" w:eastAsia="宋体" w:cs="Times New Roman"/>
          <w:szCs w:val="21"/>
        </w:rPr>
      </w:pPr>
      <w:r>
        <w:rPr>
          <w:rFonts w:hint="eastAsia" w:ascii="宋体" w:hAnsi="宋体" w:eastAsia="宋体" w:cs="Times New Roman"/>
          <w:szCs w:val="21"/>
        </w:rPr>
        <w:t>不分文理的新高考省份以专业组或专业为统计单元。</w:t>
      </w:r>
    </w:p>
    <w:p>
      <w:pPr>
        <w:pStyle w:val="11"/>
        <w:numPr>
          <w:ilvl w:val="0"/>
          <w:numId w:val="2"/>
        </w:numPr>
        <w:spacing w:line="360" w:lineRule="auto"/>
        <w:ind w:firstLineChars="0"/>
        <w:rPr>
          <w:rFonts w:asciiTheme="minorEastAsia" w:hAnsiTheme="minorEastAsia"/>
          <w:b/>
          <w:szCs w:val="21"/>
        </w:rPr>
      </w:pPr>
      <w:r>
        <w:rPr>
          <w:rFonts w:hint="eastAsia" w:asciiTheme="minorEastAsia" w:hAnsiTheme="minorEastAsia"/>
          <w:b/>
          <w:szCs w:val="21"/>
        </w:rPr>
        <w:t>第二轮确认</w:t>
      </w:r>
    </w:p>
    <w:p>
      <w:pPr>
        <w:pStyle w:val="11"/>
        <w:numPr>
          <w:ilvl w:val="0"/>
          <w:numId w:val="5"/>
        </w:numPr>
        <w:spacing w:line="360" w:lineRule="auto"/>
        <w:ind w:firstLineChars="0"/>
        <w:rPr>
          <w:rFonts w:asciiTheme="minorEastAsia" w:hAnsiTheme="minorEastAsia"/>
          <w:szCs w:val="21"/>
        </w:rPr>
      </w:pPr>
      <w:r>
        <w:rPr>
          <w:rFonts w:hint="eastAsia" w:asciiTheme="minorEastAsia" w:hAnsiTheme="minorEastAsia"/>
          <w:szCs w:val="21"/>
        </w:rPr>
        <w:t>申请主体：类内和跨类学生</w:t>
      </w:r>
    </w:p>
    <w:p>
      <w:pPr>
        <w:pStyle w:val="11"/>
        <w:numPr>
          <w:ilvl w:val="0"/>
          <w:numId w:val="5"/>
        </w:numPr>
        <w:spacing w:line="360" w:lineRule="auto"/>
        <w:ind w:firstLineChars="0"/>
        <w:rPr>
          <w:rFonts w:asciiTheme="minorEastAsia" w:hAnsiTheme="minorEastAsia"/>
          <w:szCs w:val="21"/>
        </w:rPr>
      </w:pPr>
      <w:r>
        <w:rPr>
          <w:rFonts w:hint="eastAsia" w:asciiTheme="minorEastAsia" w:hAnsiTheme="minorEastAsia"/>
          <w:szCs w:val="21"/>
        </w:rPr>
        <w:t>申请时间：第一学年冬学期</w:t>
      </w:r>
    </w:p>
    <w:p>
      <w:pPr>
        <w:pStyle w:val="11"/>
        <w:numPr>
          <w:ilvl w:val="0"/>
          <w:numId w:val="5"/>
        </w:numPr>
        <w:spacing w:line="360" w:lineRule="auto"/>
        <w:ind w:firstLineChars="0"/>
        <w:rPr>
          <w:rFonts w:asciiTheme="minorEastAsia" w:hAnsiTheme="minorEastAsia"/>
          <w:szCs w:val="21"/>
        </w:rPr>
      </w:pPr>
      <w:r>
        <w:rPr>
          <w:rFonts w:hint="eastAsia" w:asciiTheme="minorEastAsia" w:hAnsiTheme="minorEastAsia"/>
          <w:szCs w:val="21"/>
        </w:rPr>
        <w:t>容量：专业基本容量*18%</w:t>
      </w:r>
    </w:p>
    <w:p>
      <w:pPr>
        <w:pStyle w:val="11"/>
        <w:numPr>
          <w:ilvl w:val="0"/>
          <w:numId w:val="5"/>
        </w:numPr>
        <w:spacing w:line="360" w:lineRule="auto"/>
        <w:ind w:firstLineChars="0"/>
        <w:rPr>
          <w:rFonts w:asciiTheme="minorEastAsia" w:hAnsiTheme="minorEastAsia"/>
          <w:szCs w:val="21"/>
        </w:rPr>
      </w:pPr>
      <w:r>
        <w:rPr>
          <w:rFonts w:hint="eastAsia" w:asciiTheme="minorEastAsia" w:hAnsiTheme="minorEastAsia"/>
          <w:szCs w:val="21"/>
        </w:rPr>
        <w:t>确认方法：</w:t>
      </w:r>
    </w:p>
    <w:p>
      <w:pPr>
        <w:pStyle w:val="11"/>
        <w:numPr>
          <w:ilvl w:val="0"/>
          <w:numId w:val="6"/>
        </w:numPr>
        <w:autoSpaceDE w:val="0"/>
        <w:autoSpaceDN w:val="0"/>
        <w:adjustRightInd w:val="0"/>
        <w:snapToGrid w:val="0"/>
        <w:spacing w:before="93" w:beforeLines="30" w:line="360" w:lineRule="auto"/>
        <w:ind w:left="851" w:hanging="425" w:firstLineChars="0"/>
        <w:jc w:val="left"/>
        <w:rPr>
          <w:rFonts w:asciiTheme="minorEastAsia" w:hAnsiTheme="minorEastAsia"/>
          <w:szCs w:val="21"/>
        </w:rPr>
      </w:pPr>
      <w:r>
        <w:rPr>
          <w:rFonts w:asciiTheme="minorEastAsia" w:hAnsiTheme="minorEastAsia"/>
          <w:szCs w:val="21"/>
        </w:rPr>
        <w:t>当</w:t>
      </w:r>
      <w:r>
        <w:rPr>
          <w:rFonts w:hint="eastAsia" w:asciiTheme="minorEastAsia" w:hAnsiTheme="minorEastAsia"/>
          <w:szCs w:val="21"/>
        </w:rPr>
        <w:t>第二轮申请志愿累计数</w:t>
      </w:r>
      <w:r>
        <w:rPr>
          <w:rFonts w:asciiTheme="minorEastAsia" w:hAnsiTheme="minorEastAsia"/>
          <w:szCs w:val="21"/>
        </w:rPr>
        <w:t>不大于</w:t>
      </w:r>
      <w:r>
        <w:rPr>
          <w:rFonts w:hint="eastAsia" w:asciiTheme="minorEastAsia" w:hAnsiTheme="minorEastAsia"/>
          <w:szCs w:val="21"/>
        </w:rPr>
        <w:t>第二确认轮容量</w:t>
      </w:r>
      <w:r>
        <w:rPr>
          <w:rFonts w:asciiTheme="minorEastAsia" w:hAnsiTheme="minorEastAsia"/>
          <w:szCs w:val="21"/>
        </w:rPr>
        <w:t>时，申请学生全部确认进入</w:t>
      </w:r>
      <w:r>
        <w:rPr>
          <w:rFonts w:hint="eastAsia" w:asciiTheme="minorEastAsia" w:hAnsiTheme="minorEastAsia"/>
          <w:szCs w:val="21"/>
        </w:rPr>
        <w:t>本</w:t>
      </w:r>
      <w:r>
        <w:rPr>
          <w:rFonts w:asciiTheme="minorEastAsia" w:hAnsiTheme="minorEastAsia"/>
          <w:szCs w:val="21"/>
        </w:rPr>
        <w:t>专业。</w:t>
      </w:r>
    </w:p>
    <w:p>
      <w:pPr>
        <w:pStyle w:val="11"/>
        <w:numPr>
          <w:ilvl w:val="0"/>
          <w:numId w:val="6"/>
        </w:numPr>
        <w:autoSpaceDE w:val="0"/>
        <w:autoSpaceDN w:val="0"/>
        <w:adjustRightInd w:val="0"/>
        <w:snapToGrid w:val="0"/>
        <w:spacing w:before="93" w:beforeLines="30" w:line="360" w:lineRule="auto"/>
        <w:ind w:left="851" w:hanging="425" w:firstLineChars="0"/>
        <w:jc w:val="left"/>
        <w:rPr>
          <w:rFonts w:asciiTheme="minorEastAsia" w:hAnsiTheme="minorEastAsia"/>
          <w:szCs w:val="21"/>
        </w:rPr>
      </w:pPr>
      <w:bookmarkStart w:id="0" w:name="OLE_LINK1"/>
      <w:bookmarkStart w:id="1" w:name="OLE_LINK2"/>
      <w:r>
        <w:rPr>
          <w:rFonts w:asciiTheme="minorEastAsia" w:hAnsiTheme="minorEastAsia"/>
          <w:szCs w:val="21"/>
        </w:rPr>
        <w:t>当</w:t>
      </w:r>
      <w:r>
        <w:rPr>
          <w:rFonts w:hint="eastAsia" w:asciiTheme="minorEastAsia" w:hAnsiTheme="minorEastAsia"/>
          <w:szCs w:val="21"/>
        </w:rPr>
        <w:t>第二轮申请志愿累计数</w:t>
      </w:r>
      <w:r>
        <w:rPr>
          <w:rFonts w:asciiTheme="minorEastAsia" w:hAnsiTheme="minorEastAsia"/>
          <w:szCs w:val="21"/>
        </w:rPr>
        <w:t>大于</w:t>
      </w:r>
      <w:r>
        <w:rPr>
          <w:rFonts w:hint="eastAsia" w:asciiTheme="minorEastAsia" w:hAnsiTheme="minorEastAsia"/>
          <w:szCs w:val="21"/>
        </w:rPr>
        <w:t>专业第二轮容量</w:t>
      </w:r>
      <w:r>
        <w:rPr>
          <w:rFonts w:asciiTheme="minorEastAsia" w:hAnsiTheme="minorEastAsia"/>
          <w:szCs w:val="21"/>
        </w:rPr>
        <w:t>时，</w:t>
      </w:r>
      <w:r>
        <w:rPr>
          <w:rFonts w:hint="eastAsia" w:asciiTheme="minorEastAsia" w:hAnsiTheme="minorEastAsia"/>
          <w:szCs w:val="21"/>
        </w:rPr>
        <w:t>学院将组织面试，</w:t>
      </w:r>
      <w:bookmarkEnd w:id="0"/>
      <w:bookmarkEnd w:id="1"/>
      <w:r>
        <w:rPr>
          <w:rFonts w:hint="eastAsia" w:asciiTheme="minorEastAsia" w:hAnsiTheme="minorEastAsia"/>
          <w:szCs w:val="21"/>
        </w:rPr>
        <w:t>具体筛选方案与第一轮相同。</w:t>
      </w:r>
    </w:p>
    <w:p>
      <w:pPr>
        <w:pStyle w:val="11"/>
        <w:numPr>
          <w:ilvl w:val="0"/>
          <w:numId w:val="2"/>
        </w:numPr>
        <w:spacing w:line="360" w:lineRule="auto"/>
        <w:ind w:firstLineChars="0"/>
        <w:rPr>
          <w:rFonts w:asciiTheme="minorEastAsia" w:hAnsiTheme="minorEastAsia"/>
          <w:b/>
          <w:szCs w:val="21"/>
        </w:rPr>
      </w:pPr>
      <w:r>
        <w:rPr>
          <w:rFonts w:hint="eastAsia" w:asciiTheme="minorEastAsia" w:hAnsiTheme="minorEastAsia"/>
          <w:b/>
          <w:szCs w:val="21"/>
        </w:rPr>
        <w:t>转专业学生的接收方案</w:t>
      </w:r>
    </w:p>
    <w:p>
      <w:pPr>
        <w:pStyle w:val="11"/>
        <w:numPr>
          <w:ilvl w:val="0"/>
          <w:numId w:val="7"/>
        </w:numPr>
        <w:spacing w:line="360" w:lineRule="auto"/>
        <w:ind w:firstLineChars="0"/>
        <w:rPr>
          <w:rFonts w:asciiTheme="minorEastAsia" w:hAnsiTheme="minorEastAsia"/>
          <w:szCs w:val="21"/>
        </w:rPr>
      </w:pPr>
      <w:r>
        <w:rPr>
          <w:rFonts w:hint="eastAsia" w:asciiTheme="minorEastAsia" w:hAnsiTheme="minorEastAsia"/>
          <w:szCs w:val="21"/>
        </w:rPr>
        <w:t>申请主体：已确认主修专业且未申请过转专业的学生</w:t>
      </w:r>
    </w:p>
    <w:p>
      <w:pPr>
        <w:pStyle w:val="11"/>
        <w:numPr>
          <w:ilvl w:val="0"/>
          <w:numId w:val="7"/>
        </w:numPr>
        <w:spacing w:line="360" w:lineRule="auto"/>
        <w:ind w:firstLineChars="0"/>
        <w:rPr>
          <w:rFonts w:asciiTheme="minorEastAsia" w:hAnsiTheme="minorEastAsia"/>
          <w:szCs w:val="21"/>
        </w:rPr>
      </w:pPr>
      <w:r>
        <w:rPr>
          <w:rFonts w:hint="eastAsia" w:asciiTheme="minorEastAsia" w:hAnsiTheme="minorEastAsia"/>
          <w:szCs w:val="21"/>
        </w:rPr>
        <w:t>时间：按照学校通知进行</w:t>
      </w:r>
    </w:p>
    <w:p>
      <w:pPr>
        <w:pStyle w:val="11"/>
        <w:numPr>
          <w:ilvl w:val="0"/>
          <w:numId w:val="7"/>
        </w:numPr>
        <w:spacing w:line="360" w:lineRule="auto"/>
        <w:ind w:firstLineChars="0"/>
        <w:rPr>
          <w:rFonts w:asciiTheme="minorEastAsia" w:hAnsiTheme="minorEastAsia"/>
          <w:szCs w:val="21"/>
        </w:rPr>
      </w:pPr>
      <w:r>
        <w:rPr>
          <w:rFonts w:hint="eastAsia" w:asciiTheme="minorEastAsia" w:hAnsiTheme="minorEastAsia"/>
          <w:szCs w:val="21"/>
        </w:rPr>
        <w:t>容量：专业基本容量*2%</w:t>
      </w:r>
    </w:p>
    <w:p>
      <w:pPr>
        <w:pStyle w:val="11"/>
        <w:numPr>
          <w:ilvl w:val="0"/>
          <w:numId w:val="7"/>
        </w:numPr>
        <w:spacing w:line="360" w:lineRule="auto"/>
        <w:ind w:firstLineChars="0"/>
        <w:rPr>
          <w:rFonts w:asciiTheme="minorEastAsia" w:hAnsiTheme="minorEastAsia"/>
          <w:szCs w:val="21"/>
        </w:rPr>
      </w:pPr>
      <w:r>
        <w:rPr>
          <w:rFonts w:hint="eastAsia" w:asciiTheme="minorEastAsia" w:hAnsiTheme="minorEastAsia"/>
          <w:szCs w:val="21"/>
        </w:rPr>
        <w:t>确认方法：</w:t>
      </w:r>
    </w:p>
    <w:p>
      <w:pPr>
        <w:spacing w:line="360" w:lineRule="auto"/>
        <w:ind w:firstLine="555"/>
        <w:rPr>
          <w:szCs w:val="21"/>
          <w:shd w:val="clear" w:color="auto" w:fill="FFFFFF"/>
        </w:rPr>
      </w:pPr>
      <w:r>
        <w:rPr>
          <w:szCs w:val="21"/>
          <w:shd w:val="clear" w:color="auto" w:fill="FFFFFF"/>
        </w:rPr>
        <w:t>要求进入大学后的每个长学期获得的学分不少于2</w:t>
      </w:r>
      <w:r>
        <w:rPr>
          <w:rFonts w:hint="eastAsia"/>
          <w:szCs w:val="21"/>
          <w:shd w:val="clear" w:color="auto" w:fill="FFFFFF"/>
        </w:rPr>
        <w:t>0，对申请的学生择优录取。</w:t>
      </w:r>
    </w:p>
    <w:p>
      <w:pPr>
        <w:numPr>
          <w:ilvl w:val="0"/>
          <w:numId w:val="1"/>
        </w:numPr>
        <w:snapToGrid w:val="0"/>
        <w:spacing w:before="156" w:beforeLines="50" w:line="360" w:lineRule="auto"/>
        <w:ind w:left="454" w:hanging="422" w:hangingChars="200"/>
        <w:rPr>
          <w:rFonts w:asciiTheme="minorEastAsia" w:hAnsiTheme="minorEastAsia"/>
          <w:b/>
          <w:szCs w:val="21"/>
        </w:rPr>
      </w:pPr>
      <w:r>
        <w:rPr>
          <w:rFonts w:hint="eastAsia" w:asciiTheme="minorEastAsia" w:hAnsiTheme="minorEastAsia"/>
          <w:b/>
          <w:szCs w:val="21"/>
        </w:rPr>
        <w:t>主修专业确认工作的程序</w:t>
      </w:r>
    </w:p>
    <w:p>
      <w:pPr>
        <w:pStyle w:val="11"/>
        <w:numPr>
          <w:ilvl w:val="0"/>
          <w:numId w:val="8"/>
        </w:numPr>
        <w:spacing w:line="324" w:lineRule="auto"/>
        <w:ind w:firstLineChars="0"/>
        <w:rPr>
          <w:rFonts w:asciiTheme="minorEastAsia" w:hAnsiTheme="minorEastAsia"/>
          <w:szCs w:val="21"/>
        </w:rPr>
      </w:pPr>
      <w:r>
        <w:rPr>
          <w:rFonts w:hint="eastAsia" w:asciiTheme="minorEastAsia" w:hAnsiTheme="minorEastAsia"/>
          <w:szCs w:val="21"/>
        </w:rPr>
        <w:t>学生本人在学校规定时间内递交申请；</w:t>
      </w:r>
    </w:p>
    <w:p>
      <w:pPr>
        <w:pStyle w:val="11"/>
        <w:numPr>
          <w:ilvl w:val="0"/>
          <w:numId w:val="8"/>
        </w:numPr>
        <w:spacing w:line="324" w:lineRule="auto"/>
        <w:ind w:left="426" w:hanging="426" w:firstLineChars="0"/>
        <w:rPr>
          <w:rFonts w:asciiTheme="minorEastAsia" w:hAnsiTheme="minorEastAsia"/>
          <w:szCs w:val="21"/>
        </w:rPr>
      </w:pPr>
      <w:r>
        <w:rPr>
          <w:rFonts w:hint="eastAsia" w:asciiTheme="minorEastAsia" w:hAnsiTheme="minorEastAsia"/>
          <w:szCs w:val="21"/>
        </w:rPr>
        <w:t>主修专业确认工作小组审核；</w:t>
      </w:r>
    </w:p>
    <w:p>
      <w:pPr>
        <w:pStyle w:val="11"/>
        <w:numPr>
          <w:ilvl w:val="0"/>
          <w:numId w:val="8"/>
        </w:numPr>
        <w:spacing w:line="324" w:lineRule="auto"/>
        <w:ind w:left="426" w:hanging="426" w:firstLineChars="0"/>
        <w:rPr>
          <w:rFonts w:asciiTheme="minorEastAsia" w:hAnsiTheme="minorEastAsia"/>
          <w:szCs w:val="21"/>
        </w:rPr>
      </w:pPr>
      <w:r>
        <w:rPr>
          <w:rFonts w:hint="eastAsia" w:asciiTheme="minorEastAsia" w:hAnsiTheme="minorEastAsia"/>
          <w:szCs w:val="21"/>
        </w:rPr>
        <w:t>按学生志愿依次进行录取时，申请人数超过容量的专业进行面试筛选；</w:t>
      </w:r>
    </w:p>
    <w:p>
      <w:pPr>
        <w:pStyle w:val="11"/>
        <w:numPr>
          <w:ilvl w:val="0"/>
          <w:numId w:val="8"/>
        </w:numPr>
        <w:spacing w:line="324" w:lineRule="auto"/>
        <w:ind w:left="426" w:hanging="426" w:firstLineChars="0"/>
        <w:rPr>
          <w:rFonts w:asciiTheme="minorEastAsia" w:hAnsiTheme="minorEastAsia"/>
          <w:szCs w:val="21"/>
        </w:rPr>
      </w:pPr>
      <w:r>
        <w:rPr>
          <w:rFonts w:hint="eastAsia" w:asciiTheme="minorEastAsia" w:hAnsiTheme="minorEastAsia"/>
          <w:szCs w:val="21"/>
        </w:rPr>
        <w:t>确认结果予以公示；</w:t>
      </w:r>
    </w:p>
    <w:p>
      <w:pPr>
        <w:pStyle w:val="11"/>
        <w:numPr>
          <w:ilvl w:val="0"/>
          <w:numId w:val="8"/>
        </w:numPr>
        <w:spacing w:line="324" w:lineRule="auto"/>
        <w:ind w:left="426" w:hanging="426" w:firstLineChars="0"/>
        <w:rPr>
          <w:rFonts w:asciiTheme="minorEastAsia" w:hAnsiTheme="minorEastAsia"/>
          <w:szCs w:val="21"/>
        </w:rPr>
      </w:pPr>
      <w:r>
        <w:rPr>
          <w:rFonts w:hint="eastAsia" w:asciiTheme="minorEastAsia" w:hAnsiTheme="minorEastAsia"/>
          <w:szCs w:val="21"/>
        </w:rPr>
        <w:t>上报学校。</w:t>
      </w:r>
    </w:p>
    <w:p>
      <w:pPr>
        <w:numPr>
          <w:ilvl w:val="0"/>
          <w:numId w:val="1"/>
        </w:numPr>
        <w:adjustRightInd w:val="0"/>
        <w:snapToGrid w:val="0"/>
        <w:spacing w:before="156" w:beforeLines="50" w:line="324" w:lineRule="auto"/>
        <w:ind w:left="454" w:hanging="422" w:hangingChars="200"/>
        <w:rPr>
          <w:rFonts w:asciiTheme="minorEastAsia" w:hAnsiTheme="minorEastAsia"/>
          <w:b/>
          <w:szCs w:val="21"/>
        </w:rPr>
      </w:pPr>
      <w:r>
        <w:rPr>
          <w:rFonts w:hint="eastAsia" w:asciiTheme="minorEastAsia" w:hAnsiTheme="minorEastAsia"/>
          <w:b/>
          <w:szCs w:val="21"/>
        </w:rPr>
        <w:t>本细则由光电科学与工程学院负责解释</w:t>
      </w:r>
    </w:p>
    <w:p>
      <w:pPr>
        <w:spacing w:line="324" w:lineRule="auto"/>
        <w:rPr>
          <w:rFonts w:asciiTheme="minorEastAsia" w:hAnsiTheme="minorEastAsia"/>
          <w:szCs w:val="21"/>
        </w:rPr>
      </w:pPr>
      <w:r>
        <w:rPr>
          <w:rFonts w:hint="eastAsia" w:asciiTheme="minorEastAsia" w:hAnsiTheme="minorEastAsia"/>
          <w:szCs w:val="21"/>
        </w:rPr>
        <w:t>联系方式：87952476，</w:t>
      </w:r>
      <w:r>
        <w:fldChar w:fldCharType="begin"/>
      </w:r>
      <w:r>
        <w:instrText xml:space="preserve"> HYPERLINK "mailto:yhzhu@zju.edu.cn" </w:instrText>
      </w:r>
      <w:r>
        <w:fldChar w:fldCharType="separate"/>
      </w:r>
      <w:r>
        <w:rPr>
          <w:rFonts w:hint="eastAsia" w:asciiTheme="minorEastAsia" w:hAnsiTheme="minorEastAsia"/>
          <w:szCs w:val="21"/>
        </w:rPr>
        <w:t>yhzhu@zju.edu.cn</w:t>
      </w:r>
      <w:r>
        <w:rPr>
          <w:rFonts w:hint="eastAsia" w:asciiTheme="minorEastAsia" w:hAnsiTheme="minorEastAsia"/>
          <w:szCs w:val="21"/>
        </w:rPr>
        <w:fldChar w:fldCharType="end"/>
      </w:r>
    </w:p>
    <w:p>
      <w:pPr>
        <w:spacing w:line="324" w:lineRule="auto"/>
        <w:rPr>
          <w:rFonts w:asciiTheme="minorEastAsia" w:hAnsiTheme="minorEastAsia"/>
          <w:szCs w:val="21"/>
        </w:rPr>
      </w:pPr>
      <w:r>
        <w:rPr>
          <w:rFonts w:hint="eastAsia" w:asciiTheme="minorEastAsia" w:hAnsiTheme="minorEastAsia"/>
          <w:szCs w:val="21"/>
        </w:rPr>
        <w:t>光电学院办公网：</w:t>
      </w:r>
      <w:r>
        <w:rPr>
          <w:rFonts w:asciiTheme="minorEastAsia" w:hAnsiTheme="minorEastAsia"/>
          <w:szCs w:val="21"/>
        </w:rPr>
        <w:t>http://opt.zju.edu.cn</w:t>
      </w:r>
    </w:p>
    <w:p>
      <w:pPr>
        <w:snapToGrid w:val="0"/>
        <w:spacing w:line="360" w:lineRule="auto"/>
        <w:rPr>
          <w:rFonts w:asciiTheme="minorEastAsia" w:hAnsiTheme="minorEastAsia"/>
          <w:szCs w:val="21"/>
        </w:rPr>
      </w:pPr>
    </w:p>
    <w:p>
      <w:pPr>
        <w:snapToGrid w:val="0"/>
        <w:spacing w:line="360" w:lineRule="auto"/>
        <w:jc w:val="right"/>
        <w:rPr>
          <w:rFonts w:asciiTheme="minorEastAsia" w:hAnsiTheme="minorEastAsia"/>
          <w:szCs w:val="21"/>
        </w:rPr>
      </w:pPr>
      <w:r>
        <w:rPr>
          <w:rFonts w:hint="eastAsia" w:asciiTheme="minorEastAsia" w:hAnsiTheme="minorEastAsia"/>
          <w:szCs w:val="21"/>
        </w:rPr>
        <w:t>光电科学与工程学院</w:t>
      </w:r>
    </w:p>
    <w:p>
      <w:pPr>
        <w:snapToGrid w:val="0"/>
        <w:spacing w:line="360" w:lineRule="auto"/>
        <w:jc w:val="right"/>
        <w:rPr>
          <w:rFonts w:asciiTheme="minorEastAsia" w:hAnsiTheme="minorEastAsia"/>
          <w:szCs w:val="21"/>
        </w:rPr>
      </w:pPr>
      <w:r>
        <w:rPr>
          <w:rFonts w:hint="eastAsia" w:asciiTheme="minorEastAsia" w:hAnsiTheme="minorEastAsia"/>
          <w:szCs w:val="21"/>
        </w:rPr>
        <w:t>2019年10月8日</w:t>
      </w:r>
    </w:p>
    <w:sectPr>
      <w:headerReference r:id="rId3" w:type="default"/>
      <w:pgSz w:w="11906" w:h="16838"/>
      <w:pgMar w:top="1418" w:right="1559" w:bottom="1418" w:left="1559"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EA74FB"/>
    <w:multiLevelType w:val="multilevel"/>
    <w:tmpl w:val="02EA74F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3963B0A"/>
    <w:multiLevelType w:val="multilevel"/>
    <w:tmpl w:val="03963B0A"/>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06E52DAA"/>
    <w:multiLevelType w:val="multilevel"/>
    <w:tmpl w:val="06E52DAA"/>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E06D03"/>
    <w:multiLevelType w:val="multilevel"/>
    <w:tmpl w:val="3AE06D03"/>
    <w:lvl w:ilvl="0" w:tentative="0">
      <w:start w:val="1"/>
      <w:numFmt w:val="decimal"/>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4">
    <w:nsid w:val="46E326E2"/>
    <w:multiLevelType w:val="multilevel"/>
    <w:tmpl w:val="46E326E2"/>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61D8623C"/>
    <w:multiLevelType w:val="multilevel"/>
    <w:tmpl w:val="61D8623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7452376B"/>
    <w:multiLevelType w:val="multilevel"/>
    <w:tmpl w:val="7452376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7838578E"/>
    <w:multiLevelType w:val="multilevel"/>
    <w:tmpl w:val="7838578E"/>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5"/>
  </w:num>
  <w:num w:numId="3">
    <w:abstractNumId w:val="0"/>
  </w:num>
  <w:num w:numId="4">
    <w:abstractNumId w:val="3"/>
  </w:num>
  <w:num w:numId="5">
    <w:abstractNumId w:val="1"/>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7D5"/>
    <w:rsid w:val="000113D9"/>
    <w:rsid w:val="0002470C"/>
    <w:rsid w:val="00055278"/>
    <w:rsid w:val="00060A78"/>
    <w:rsid w:val="00067B43"/>
    <w:rsid w:val="000D5B58"/>
    <w:rsid w:val="000E2E41"/>
    <w:rsid w:val="000E4E18"/>
    <w:rsid w:val="000F05B1"/>
    <w:rsid w:val="0010590E"/>
    <w:rsid w:val="00111AC9"/>
    <w:rsid w:val="00112F4D"/>
    <w:rsid w:val="001377C2"/>
    <w:rsid w:val="00172172"/>
    <w:rsid w:val="00190C2B"/>
    <w:rsid w:val="001932D3"/>
    <w:rsid w:val="00193A01"/>
    <w:rsid w:val="001A285C"/>
    <w:rsid w:val="001A7D15"/>
    <w:rsid w:val="001B22A9"/>
    <w:rsid w:val="001D6CCA"/>
    <w:rsid w:val="001E0A6B"/>
    <w:rsid w:val="001E1168"/>
    <w:rsid w:val="001E2F8D"/>
    <w:rsid w:val="001F699B"/>
    <w:rsid w:val="00216CFD"/>
    <w:rsid w:val="002174BC"/>
    <w:rsid w:val="002412A4"/>
    <w:rsid w:val="0025634B"/>
    <w:rsid w:val="00264F51"/>
    <w:rsid w:val="00273A8B"/>
    <w:rsid w:val="00281406"/>
    <w:rsid w:val="002C1ACC"/>
    <w:rsid w:val="002D3FD9"/>
    <w:rsid w:val="0033550A"/>
    <w:rsid w:val="00375246"/>
    <w:rsid w:val="0039343D"/>
    <w:rsid w:val="003A595C"/>
    <w:rsid w:val="003A5C03"/>
    <w:rsid w:val="003A678C"/>
    <w:rsid w:val="003A6A0D"/>
    <w:rsid w:val="003B5183"/>
    <w:rsid w:val="003C12E6"/>
    <w:rsid w:val="003F21DA"/>
    <w:rsid w:val="003F2223"/>
    <w:rsid w:val="003F41F2"/>
    <w:rsid w:val="004242A5"/>
    <w:rsid w:val="00452C7D"/>
    <w:rsid w:val="00457CB6"/>
    <w:rsid w:val="00461F90"/>
    <w:rsid w:val="004668DF"/>
    <w:rsid w:val="00472F84"/>
    <w:rsid w:val="004846E8"/>
    <w:rsid w:val="00485A58"/>
    <w:rsid w:val="004C4448"/>
    <w:rsid w:val="004E0DE7"/>
    <w:rsid w:val="004F1C3B"/>
    <w:rsid w:val="00515159"/>
    <w:rsid w:val="0053463E"/>
    <w:rsid w:val="005462E8"/>
    <w:rsid w:val="00561207"/>
    <w:rsid w:val="005763A7"/>
    <w:rsid w:val="005A09B8"/>
    <w:rsid w:val="005A1867"/>
    <w:rsid w:val="005B3F17"/>
    <w:rsid w:val="005E1922"/>
    <w:rsid w:val="005F2FD1"/>
    <w:rsid w:val="00606575"/>
    <w:rsid w:val="00674668"/>
    <w:rsid w:val="006B7845"/>
    <w:rsid w:val="006E13BB"/>
    <w:rsid w:val="006E7DB8"/>
    <w:rsid w:val="0071590E"/>
    <w:rsid w:val="00723B8D"/>
    <w:rsid w:val="0076158D"/>
    <w:rsid w:val="0076273D"/>
    <w:rsid w:val="00766F73"/>
    <w:rsid w:val="007777F3"/>
    <w:rsid w:val="007A40DC"/>
    <w:rsid w:val="007A6F48"/>
    <w:rsid w:val="007B2113"/>
    <w:rsid w:val="007C1432"/>
    <w:rsid w:val="007E1D8B"/>
    <w:rsid w:val="007E2C98"/>
    <w:rsid w:val="00841211"/>
    <w:rsid w:val="008605CA"/>
    <w:rsid w:val="008737D9"/>
    <w:rsid w:val="00883DFC"/>
    <w:rsid w:val="008C5751"/>
    <w:rsid w:val="008E13F2"/>
    <w:rsid w:val="00912B22"/>
    <w:rsid w:val="00914505"/>
    <w:rsid w:val="00923CB8"/>
    <w:rsid w:val="00940F10"/>
    <w:rsid w:val="009436FF"/>
    <w:rsid w:val="009500B2"/>
    <w:rsid w:val="0098754E"/>
    <w:rsid w:val="00991727"/>
    <w:rsid w:val="009B3833"/>
    <w:rsid w:val="009D6553"/>
    <w:rsid w:val="00A063AF"/>
    <w:rsid w:val="00A06697"/>
    <w:rsid w:val="00A47419"/>
    <w:rsid w:val="00A7379D"/>
    <w:rsid w:val="00AA56CF"/>
    <w:rsid w:val="00B07E5A"/>
    <w:rsid w:val="00B23936"/>
    <w:rsid w:val="00B35854"/>
    <w:rsid w:val="00B40111"/>
    <w:rsid w:val="00B52730"/>
    <w:rsid w:val="00B527F9"/>
    <w:rsid w:val="00B57196"/>
    <w:rsid w:val="00BD31EC"/>
    <w:rsid w:val="00BD3344"/>
    <w:rsid w:val="00BD3C7F"/>
    <w:rsid w:val="00C07883"/>
    <w:rsid w:val="00C126A7"/>
    <w:rsid w:val="00C2548D"/>
    <w:rsid w:val="00C56DE5"/>
    <w:rsid w:val="00C82687"/>
    <w:rsid w:val="00C97203"/>
    <w:rsid w:val="00CA1ED6"/>
    <w:rsid w:val="00CA7A0A"/>
    <w:rsid w:val="00CD2A2A"/>
    <w:rsid w:val="00CE3AB6"/>
    <w:rsid w:val="00CE6EBE"/>
    <w:rsid w:val="00CE7794"/>
    <w:rsid w:val="00CF0EAD"/>
    <w:rsid w:val="00D069AD"/>
    <w:rsid w:val="00D20491"/>
    <w:rsid w:val="00D25DAF"/>
    <w:rsid w:val="00D30712"/>
    <w:rsid w:val="00D32777"/>
    <w:rsid w:val="00D36211"/>
    <w:rsid w:val="00D52D3A"/>
    <w:rsid w:val="00D758C1"/>
    <w:rsid w:val="00D83C05"/>
    <w:rsid w:val="00D95D77"/>
    <w:rsid w:val="00D967D5"/>
    <w:rsid w:val="00DC2AE6"/>
    <w:rsid w:val="00DD2220"/>
    <w:rsid w:val="00DE0271"/>
    <w:rsid w:val="00DE3FA3"/>
    <w:rsid w:val="00DF09B0"/>
    <w:rsid w:val="00E32991"/>
    <w:rsid w:val="00E34C79"/>
    <w:rsid w:val="00E37985"/>
    <w:rsid w:val="00E56295"/>
    <w:rsid w:val="00E63BC3"/>
    <w:rsid w:val="00E66281"/>
    <w:rsid w:val="00E735DF"/>
    <w:rsid w:val="00E75B5F"/>
    <w:rsid w:val="00E82A63"/>
    <w:rsid w:val="00E83C61"/>
    <w:rsid w:val="00E845ED"/>
    <w:rsid w:val="00E937C7"/>
    <w:rsid w:val="00EA42D9"/>
    <w:rsid w:val="00ED1B2C"/>
    <w:rsid w:val="00EE384B"/>
    <w:rsid w:val="00EE4B96"/>
    <w:rsid w:val="00F22193"/>
    <w:rsid w:val="00F27E17"/>
    <w:rsid w:val="00F32813"/>
    <w:rsid w:val="00F50EE7"/>
    <w:rsid w:val="00F618E2"/>
    <w:rsid w:val="00F83D60"/>
    <w:rsid w:val="00FA6F1C"/>
    <w:rsid w:val="00FB4DA2"/>
    <w:rsid w:val="00FB76BD"/>
    <w:rsid w:val="00FC4B8B"/>
    <w:rsid w:val="00FD675C"/>
    <w:rsid w:val="00FF6A67"/>
    <w:rsid w:val="245A2DF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Date"/>
    <w:basedOn w:val="1"/>
    <w:next w:val="1"/>
    <w:link w:val="12"/>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uiPriority w:val="99"/>
    <w:pPr>
      <w:tabs>
        <w:tab w:val="center" w:pos="4153"/>
        <w:tab w:val="right" w:pos="8306"/>
      </w:tabs>
      <w:snapToGrid w:val="0"/>
      <w:jc w:val="left"/>
    </w:pPr>
    <w:rPr>
      <w:sz w:val="18"/>
      <w:szCs w:val="18"/>
    </w:rPr>
  </w:style>
  <w:style w:type="paragraph" w:styleId="5">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8">
    <w:name w:val="Hyperlink"/>
    <w:qFormat/>
    <w:uiPriority w:val="0"/>
    <w:rPr>
      <w:color w:val="0000FF"/>
      <w:u w:val="single"/>
    </w:rPr>
  </w:style>
  <w:style w:type="character" w:customStyle="1" w:styleId="9">
    <w:name w:val="页眉字符"/>
    <w:basedOn w:val="7"/>
    <w:link w:val="5"/>
    <w:uiPriority w:val="99"/>
    <w:rPr>
      <w:sz w:val="18"/>
      <w:szCs w:val="18"/>
    </w:rPr>
  </w:style>
  <w:style w:type="character" w:customStyle="1" w:styleId="10">
    <w:name w:val="页脚字符"/>
    <w:basedOn w:val="7"/>
    <w:link w:val="4"/>
    <w:uiPriority w:val="99"/>
    <w:rPr>
      <w:sz w:val="18"/>
      <w:szCs w:val="18"/>
    </w:rPr>
  </w:style>
  <w:style w:type="paragraph" w:styleId="11">
    <w:name w:val="List Paragraph"/>
    <w:basedOn w:val="1"/>
    <w:qFormat/>
    <w:uiPriority w:val="34"/>
    <w:pPr>
      <w:ind w:firstLine="420" w:firstLineChars="200"/>
    </w:pPr>
  </w:style>
  <w:style w:type="character" w:customStyle="1" w:styleId="12">
    <w:name w:val="日期字符"/>
    <w:basedOn w:val="7"/>
    <w:link w:val="2"/>
    <w:semiHidden/>
    <w:qFormat/>
    <w:uiPriority w:val="99"/>
  </w:style>
  <w:style w:type="character" w:customStyle="1" w:styleId="13">
    <w:name w:val="批注框文本字符"/>
    <w:basedOn w:val="7"/>
    <w:link w:val="3"/>
    <w:semiHidden/>
    <w:qFormat/>
    <w:uiPriority w:val="99"/>
    <w:rPr>
      <w:sz w:val="18"/>
      <w:szCs w:val="18"/>
    </w:rPr>
  </w:style>
  <w:style w:type="character" w:styleId="14">
    <w:name w:val="Placeholder Text"/>
    <w:basedOn w:val="7"/>
    <w:semiHidden/>
    <w:qFormat/>
    <w:uiPriority w:val="99"/>
    <w:rPr>
      <w:color w:val="80808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163</Words>
  <Characters>930</Characters>
  <Lines>7</Lines>
  <Paragraphs>2</Paragraphs>
  <TotalTime>522</TotalTime>
  <ScaleCrop>false</ScaleCrop>
  <LinksUpToDate>false</LinksUpToDate>
  <CharactersWithSpaces>1091</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2016-09-11T13:17:00Z</dcterms:created>
  <dc:creator>Dell</dc:creator>
  <cp:lastModifiedBy>小宇溪</cp:lastModifiedBy>
  <cp:lastPrinted>2016-09-26T02:23:00Z</cp:lastPrinted>
  <dcterms:modified xsi:type="dcterms:W3CDTF">2019-10-11T06:49:39Z</dcterms:modified>
  <cp:revision>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