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宋体" w:eastAsia="黑体"/>
          <w:b/>
          <w:sz w:val="36"/>
          <w:szCs w:val="36"/>
        </w:rPr>
      </w:pPr>
      <w:r>
        <w:rPr>
          <w:rFonts w:hint="eastAsia" w:ascii="黑体" w:hAnsi="宋体" w:eastAsia="黑体"/>
          <w:b/>
          <w:sz w:val="36"/>
          <w:szCs w:val="36"/>
        </w:rPr>
        <w:t>2019级公共管理学院主修专业确认工作细则</w:t>
      </w:r>
    </w:p>
    <w:p>
      <w:pPr>
        <w:tabs>
          <w:tab w:val="left" w:pos="0"/>
        </w:tabs>
        <w:adjustRightInd w:val="0"/>
        <w:snapToGrid w:val="0"/>
        <w:spacing w:line="360" w:lineRule="auto"/>
        <w:ind w:firstLine="480" w:firstLineChars="200"/>
        <w:rPr>
          <w:rFonts w:ascii="宋体" w:hAnsi="宋体"/>
          <w:sz w:val="24"/>
        </w:rPr>
      </w:pPr>
    </w:p>
    <w:p>
      <w:pPr>
        <w:tabs>
          <w:tab w:val="left" w:pos="0"/>
        </w:tabs>
        <w:adjustRightInd w:val="0"/>
        <w:snapToGrid w:val="0"/>
        <w:spacing w:line="360" w:lineRule="auto"/>
        <w:ind w:firstLine="480" w:firstLineChars="200"/>
        <w:rPr>
          <w:rFonts w:ascii="宋体" w:hAnsi="宋体"/>
          <w:sz w:val="24"/>
        </w:rPr>
      </w:pPr>
      <w:r>
        <w:rPr>
          <w:rFonts w:hint="eastAsia" w:ascii="宋体" w:hAnsi="宋体"/>
          <w:sz w:val="24"/>
        </w:rPr>
        <w:t>2019级公共管理学院主修专业确认工作由学院主修专业确认工作委员会按照公平、公开、公正的原则进行。按照浙大发本【2016】109号《浙江大学本科生主修专业确认办法》和“关于2019级本科生主修专业确认工作的通知”执行。</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 xml:space="preserve">一、学院主修专业确认工作委员会 </w:t>
      </w:r>
    </w:p>
    <w:p>
      <w:pPr>
        <w:adjustRightInd w:val="0"/>
        <w:snapToGrid w:val="0"/>
        <w:spacing w:line="360" w:lineRule="auto"/>
        <w:ind w:firstLine="480" w:firstLineChars="200"/>
        <w:rPr>
          <w:rFonts w:ascii="宋体" w:hAnsi="宋体"/>
          <w:sz w:val="24"/>
        </w:rPr>
      </w:pPr>
      <w:r>
        <w:rPr>
          <w:rFonts w:hint="eastAsia" w:ascii="宋体" w:hAnsi="宋体"/>
          <w:sz w:val="24"/>
        </w:rPr>
        <w:t>由分管本科教学副院长、分管本科生思政工作党委副书记任组长，成员包括各系系主任、本科生教学管理办公室主任、团委书记。</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二、各专业接收要求</w:t>
      </w:r>
    </w:p>
    <w:p>
      <w:pPr>
        <w:adjustRightInd w:val="0"/>
        <w:snapToGrid w:val="0"/>
        <w:spacing w:line="360" w:lineRule="auto"/>
        <w:ind w:firstLine="480" w:firstLineChars="200"/>
        <w:rPr>
          <w:rFonts w:ascii="宋体" w:hAnsi="宋体"/>
          <w:sz w:val="24"/>
        </w:rPr>
      </w:pPr>
      <w:r>
        <w:rPr>
          <w:rFonts w:hint="eastAsia" w:ascii="宋体" w:hAnsi="宋体"/>
          <w:sz w:val="24"/>
        </w:rPr>
        <w:t>1.第一轮确认只接收类内学生</w:t>
      </w:r>
    </w:p>
    <w:p>
      <w:pPr>
        <w:adjustRightInd w:val="0"/>
        <w:snapToGrid w:val="0"/>
        <w:spacing w:line="360" w:lineRule="auto"/>
        <w:ind w:firstLine="480" w:firstLineChars="200"/>
        <w:rPr>
          <w:rFonts w:ascii="宋体" w:hAnsi="宋体"/>
          <w:b/>
          <w:sz w:val="24"/>
        </w:rPr>
      </w:pPr>
      <w:r>
        <w:rPr>
          <w:rFonts w:hint="eastAsia" w:ascii="宋体" w:hAnsi="宋体"/>
          <w:sz w:val="24"/>
        </w:rPr>
        <w:t>第一轮确认按学生专业志愿优先级，自前向后、分批次进行确认。</w:t>
      </w:r>
      <w:r>
        <w:rPr>
          <w:rFonts w:hint="eastAsia" w:ascii="宋体" w:hAnsi="宋体"/>
          <w:b/>
          <w:sz w:val="24"/>
        </w:rPr>
        <w:t>第一轮第一、第二志愿填报学院各专业但第一志愿未被接收的，优先保证可不参加第二志愿面试被第二志愿接收（第二志愿专业基本容量为0的除外）。</w:t>
      </w:r>
    </w:p>
    <w:p>
      <w:pPr>
        <w:adjustRightInd w:val="0"/>
        <w:snapToGrid w:val="0"/>
        <w:spacing w:line="360" w:lineRule="auto"/>
        <w:ind w:firstLine="480" w:firstLineChars="200"/>
        <w:rPr>
          <w:rFonts w:ascii="楷体" w:hAnsi="楷体" w:eastAsia="楷体"/>
          <w:sz w:val="24"/>
        </w:rPr>
      </w:pPr>
      <w:r>
        <w:rPr>
          <w:rFonts w:hint="eastAsia" w:ascii="宋体" w:hAnsi="宋体"/>
          <w:sz w:val="24"/>
        </w:rPr>
        <w:t>当</w:t>
      </w:r>
      <w:r>
        <w:rPr>
          <w:rFonts w:ascii="宋体" w:hAnsi="宋体"/>
          <w:sz w:val="24"/>
        </w:rPr>
        <w:t>申请人数</w:t>
      </w:r>
      <w:r>
        <w:rPr>
          <w:rFonts w:hint="eastAsia" w:ascii="宋体" w:hAnsi="宋体"/>
          <w:sz w:val="24"/>
        </w:rPr>
        <w:t>大于</w:t>
      </w:r>
      <w:r>
        <w:rPr>
          <w:rFonts w:ascii="宋体" w:hAnsi="宋体"/>
          <w:sz w:val="24"/>
        </w:rPr>
        <w:t>专业</w:t>
      </w:r>
      <w:r>
        <w:rPr>
          <w:rFonts w:hint="eastAsia" w:ascii="宋体" w:hAnsi="宋体"/>
          <w:sz w:val="24"/>
        </w:rPr>
        <w:t>基本容量</w:t>
      </w:r>
      <w:r>
        <w:rPr>
          <w:rFonts w:ascii="宋体" w:hAnsi="宋体"/>
          <w:sz w:val="24"/>
        </w:rPr>
        <w:t>时，</w:t>
      </w:r>
      <w:r>
        <w:rPr>
          <w:rFonts w:hint="eastAsia" w:ascii="宋体" w:hAnsi="宋体"/>
          <w:sz w:val="24"/>
        </w:rPr>
        <w:t>由</w:t>
      </w:r>
      <w:r>
        <w:rPr>
          <w:rFonts w:ascii="宋体" w:hAnsi="宋体"/>
          <w:sz w:val="24"/>
        </w:rPr>
        <w:t>专业</w:t>
      </w:r>
      <w:r>
        <w:rPr>
          <w:rFonts w:hint="eastAsia" w:ascii="宋体" w:hAnsi="宋体"/>
          <w:sz w:val="24"/>
        </w:rPr>
        <w:t>组织面试进行遴选。专业遴选按综合成绩由高到低接收。</w:t>
      </w:r>
      <w:r>
        <w:rPr>
          <w:rFonts w:hint="eastAsia" w:ascii="楷体" w:hAnsi="楷体" w:eastAsia="楷体"/>
          <w:sz w:val="24"/>
        </w:rPr>
        <w:t>综合成绩＝高考相对成绩×</w:t>
      </w:r>
      <w:r>
        <w:rPr>
          <w:rFonts w:hint="eastAsia" w:ascii="楷体" w:hAnsi="楷体" w:eastAsia="楷体"/>
          <w:sz w:val="32"/>
        </w:rPr>
        <w:t>50%</w:t>
      </w:r>
      <w:r>
        <w:rPr>
          <w:rFonts w:hint="eastAsia" w:ascii="楷体" w:hAnsi="楷体" w:eastAsia="楷体"/>
          <w:sz w:val="24"/>
        </w:rPr>
        <w:t>＋面试成绩×</w:t>
      </w:r>
      <w:r>
        <w:rPr>
          <w:rFonts w:hint="eastAsia" w:ascii="楷体" w:hAnsi="楷体" w:eastAsia="楷体"/>
          <w:sz w:val="32"/>
        </w:rPr>
        <w:t>50%</w:t>
      </w:r>
    </w:p>
    <w:p>
      <w:pPr>
        <w:adjustRightInd w:val="0"/>
        <w:snapToGrid w:val="0"/>
        <w:spacing w:line="360" w:lineRule="auto"/>
        <w:ind w:firstLine="480" w:firstLineChars="200"/>
        <w:rPr>
          <w:rFonts w:ascii="宋体" w:hAnsi="宋体"/>
          <w:sz w:val="24"/>
        </w:rPr>
      </w:pPr>
      <w:r>
        <w:rPr>
          <w:rFonts w:ascii="宋体" w:hAnsi="宋体"/>
          <w:sz w:val="24"/>
        </w:rPr>
        <w:t>当申请人数</w:t>
      </w:r>
      <w:r>
        <w:rPr>
          <w:rFonts w:hint="eastAsia" w:ascii="宋体" w:hAnsi="宋体"/>
          <w:sz w:val="24"/>
        </w:rPr>
        <w:t>不大于</w:t>
      </w:r>
      <w:r>
        <w:rPr>
          <w:rFonts w:ascii="宋体" w:hAnsi="宋体"/>
          <w:sz w:val="24"/>
        </w:rPr>
        <w:t>专业</w:t>
      </w:r>
      <w:r>
        <w:rPr>
          <w:rFonts w:hint="eastAsia" w:ascii="宋体" w:hAnsi="宋体"/>
          <w:sz w:val="24"/>
        </w:rPr>
        <w:t>基本</w:t>
      </w:r>
      <w:r>
        <w:rPr>
          <w:rFonts w:ascii="宋体" w:hAnsi="宋体"/>
          <w:sz w:val="24"/>
        </w:rPr>
        <w:t>容量时，申请学生都作为接</w:t>
      </w:r>
      <w:r>
        <w:rPr>
          <w:rFonts w:hint="eastAsia" w:ascii="宋体" w:hAnsi="宋体"/>
          <w:sz w:val="24"/>
        </w:rPr>
        <w:t>收</w:t>
      </w:r>
      <w:r>
        <w:rPr>
          <w:rFonts w:ascii="宋体" w:hAnsi="宋体"/>
          <w:sz w:val="24"/>
        </w:rPr>
        <w:t>学生</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2.第二轮确认可接收类内或跨类学生</w:t>
      </w:r>
    </w:p>
    <w:p>
      <w:pPr>
        <w:adjustRightInd w:val="0"/>
        <w:snapToGrid w:val="0"/>
        <w:spacing w:line="360" w:lineRule="auto"/>
        <w:ind w:firstLine="480" w:firstLineChars="200"/>
        <w:rPr>
          <w:rFonts w:ascii="宋体" w:hAnsi="宋体"/>
          <w:sz w:val="24"/>
        </w:rPr>
      </w:pPr>
      <w:r>
        <w:rPr>
          <w:rFonts w:hint="eastAsia" w:ascii="宋体" w:hAnsi="宋体"/>
          <w:sz w:val="24"/>
        </w:rPr>
        <w:t>公管学院对浙江省和上海市生源地学生无选考科目限制。第二轮确认按学生志愿进行确认。</w:t>
      </w:r>
    </w:p>
    <w:p>
      <w:pPr>
        <w:adjustRightInd w:val="0"/>
        <w:snapToGrid w:val="0"/>
        <w:spacing w:line="360" w:lineRule="auto"/>
        <w:ind w:firstLine="480" w:firstLineChars="200"/>
        <w:rPr>
          <w:rFonts w:ascii="楷体" w:hAnsi="楷体" w:eastAsia="楷体"/>
          <w:color w:val="FF0000"/>
          <w:sz w:val="24"/>
        </w:rPr>
      </w:pPr>
      <w:r>
        <w:rPr>
          <w:rFonts w:hint="eastAsia" w:ascii="宋体" w:hAnsi="宋体"/>
          <w:sz w:val="24"/>
        </w:rPr>
        <w:t>当</w:t>
      </w:r>
      <w:r>
        <w:rPr>
          <w:rFonts w:ascii="宋体" w:hAnsi="宋体"/>
          <w:sz w:val="24"/>
        </w:rPr>
        <w:t>申请人数</w:t>
      </w:r>
      <w:r>
        <w:rPr>
          <w:rFonts w:hint="eastAsia" w:ascii="宋体" w:hAnsi="宋体"/>
          <w:sz w:val="24"/>
        </w:rPr>
        <w:t>大于</w:t>
      </w:r>
      <w:r>
        <w:rPr>
          <w:rFonts w:ascii="宋体" w:hAnsi="宋体"/>
          <w:sz w:val="24"/>
        </w:rPr>
        <w:t>专业</w:t>
      </w:r>
      <w:r>
        <w:rPr>
          <w:rFonts w:hint="eastAsia" w:ascii="宋体" w:hAnsi="宋体"/>
          <w:sz w:val="24"/>
        </w:rPr>
        <w:t>接收</w:t>
      </w:r>
      <w:r>
        <w:rPr>
          <w:rFonts w:ascii="宋体" w:hAnsi="宋体"/>
          <w:sz w:val="24"/>
        </w:rPr>
        <w:t>容量</w:t>
      </w:r>
      <w:r>
        <w:rPr>
          <w:rFonts w:hint="eastAsia" w:ascii="宋体" w:hAnsi="宋体"/>
          <w:sz w:val="24"/>
        </w:rPr>
        <w:t>，由</w:t>
      </w:r>
      <w:r>
        <w:rPr>
          <w:rFonts w:ascii="宋体" w:hAnsi="宋体"/>
          <w:sz w:val="24"/>
        </w:rPr>
        <w:t>专业</w:t>
      </w:r>
      <w:r>
        <w:rPr>
          <w:rFonts w:hint="eastAsia" w:ascii="宋体" w:hAnsi="宋体"/>
          <w:sz w:val="24"/>
        </w:rPr>
        <w:t>组织面试进行遴选。专业遴选按综合成绩由高到低接收。</w:t>
      </w:r>
      <w:r>
        <w:rPr>
          <w:rFonts w:hint="eastAsia" w:ascii="楷体" w:hAnsi="楷体" w:eastAsia="楷体"/>
          <w:sz w:val="24"/>
        </w:rPr>
        <w:t>综合成绩＝高考相对成绩×</w:t>
      </w:r>
      <w:r>
        <w:rPr>
          <w:rFonts w:hint="eastAsia" w:ascii="楷体" w:hAnsi="楷体" w:eastAsia="楷体"/>
          <w:sz w:val="32"/>
        </w:rPr>
        <w:t>50%</w:t>
      </w:r>
      <w:r>
        <w:rPr>
          <w:rFonts w:hint="eastAsia" w:ascii="楷体" w:hAnsi="楷体" w:eastAsia="楷体"/>
          <w:sz w:val="24"/>
        </w:rPr>
        <w:t>＋面试成绩×</w:t>
      </w:r>
      <w:r>
        <w:rPr>
          <w:rFonts w:hint="eastAsia" w:ascii="楷体" w:hAnsi="楷体" w:eastAsia="楷体"/>
          <w:sz w:val="32"/>
        </w:rPr>
        <w:t>50%</w:t>
      </w:r>
    </w:p>
    <w:p>
      <w:pPr>
        <w:adjustRightInd w:val="0"/>
        <w:snapToGrid w:val="0"/>
        <w:spacing w:line="360" w:lineRule="auto"/>
        <w:ind w:firstLine="480" w:firstLineChars="200"/>
        <w:rPr>
          <w:rFonts w:ascii="宋体" w:hAnsi="宋体"/>
          <w:sz w:val="24"/>
        </w:rPr>
      </w:pPr>
      <w:r>
        <w:rPr>
          <w:rFonts w:hint="eastAsia" w:ascii="宋体" w:hAnsi="宋体"/>
          <w:sz w:val="24"/>
        </w:rPr>
        <w:t>当</w:t>
      </w:r>
      <w:r>
        <w:rPr>
          <w:rFonts w:ascii="宋体" w:hAnsi="宋体"/>
          <w:sz w:val="24"/>
        </w:rPr>
        <w:t>申请人数</w:t>
      </w:r>
      <w:r>
        <w:rPr>
          <w:rFonts w:hint="eastAsia" w:ascii="宋体" w:hAnsi="宋体"/>
          <w:sz w:val="24"/>
        </w:rPr>
        <w:t>不大于</w:t>
      </w:r>
      <w:r>
        <w:rPr>
          <w:rFonts w:ascii="宋体" w:hAnsi="宋体"/>
          <w:sz w:val="24"/>
        </w:rPr>
        <w:t>专业</w:t>
      </w:r>
      <w:r>
        <w:rPr>
          <w:rFonts w:hint="eastAsia" w:ascii="宋体" w:hAnsi="宋体"/>
          <w:sz w:val="24"/>
        </w:rPr>
        <w:t>接收</w:t>
      </w:r>
      <w:r>
        <w:rPr>
          <w:rFonts w:ascii="宋体" w:hAnsi="宋体"/>
          <w:sz w:val="24"/>
        </w:rPr>
        <w:t>容量，申请学生都作为接</w:t>
      </w:r>
      <w:r>
        <w:rPr>
          <w:rFonts w:hint="eastAsia" w:ascii="宋体" w:hAnsi="宋体"/>
          <w:sz w:val="24"/>
        </w:rPr>
        <w:t>收</w:t>
      </w:r>
      <w:r>
        <w:rPr>
          <w:rFonts w:ascii="宋体" w:hAnsi="宋体"/>
          <w:sz w:val="24"/>
        </w:rPr>
        <w:t>学生</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3.转专业</w:t>
      </w:r>
    </w:p>
    <w:p>
      <w:pPr>
        <w:adjustRightInd w:val="0"/>
        <w:snapToGrid w:val="0"/>
        <w:spacing w:line="360" w:lineRule="auto"/>
        <w:ind w:firstLine="480" w:firstLineChars="200"/>
        <w:rPr>
          <w:rFonts w:ascii="宋体" w:hAnsi="宋体"/>
          <w:sz w:val="24"/>
        </w:rPr>
      </w:pPr>
      <w:r>
        <w:rPr>
          <w:rFonts w:hint="eastAsia" w:ascii="宋体" w:hAnsi="宋体"/>
          <w:sz w:val="24"/>
        </w:rPr>
        <w:t>第二轮确认后，专业接收容量的剩余部分全部纳入转专业容量操作。</w:t>
      </w:r>
    </w:p>
    <w:p>
      <w:pPr>
        <w:adjustRightInd w:val="0"/>
        <w:snapToGrid w:val="0"/>
        <w:spacing w:line="360" w:lineRule="auto"/>
        <w:ind w:firstLine="960" w:firstLineChars="400"/>
        <w:rPr>
          <w:rFonts w:ascii="楷体" w:hAnsi="楷体" w:eastAsia="楷体"/>
          <w:sz w:val="24"/>
        </w:rPr>
      </w:pPr>
      <w:r>
        <w:rPr>
          <w:rFonts w:hint="eastAsia" w:ascii="楷体" w:hAnsi="楷体" w:eastAsia="楷体"/>
          <w:sz w:val="24"/>
        </w:rPr>
        <w:t>转专业容量＝专业接收容量－专业已确认接收人数</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学生申请转入公共管理学院按照学校的统一安排进行。跨校级代码确认视同转专业，学生跨校级代码确认后不得转专业。</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公共管理学院接收转专业学生由各专业系分别审核，一般采取面试或面谈的形式，并视情况予以同意转入或不同意转入。</w:t>
      </w:r>
    </w:p>
    <w:p>
      <w:pPr>
        <w:adjustRightInd w:val="0"/>
        <w:snapToGrid w:val="0"/>
        <w:spacing w:line="360" w:lineRule="auto"/>
        <w:ind w:firstLine="482" w:firstLineChars="200"/>
        <w:rPr>
          <w:rFonts w:eastAsia="仿宋_GB2312"/>
          <w:b/>
          <w:sz w:val="32"/>
          <w:szCs w:val="32"/>
          <w:highlight w:val="yellow"/>
        </w:rPr>
      </w:pPr>
      <w:r>
        <w:rPr>
          <w:rFonts w:hint="eastAsia" w:ascii="宋体" w:hAnsi="宋体"/>
          <w:b/>
          <w:sz w:val="24"/>
        </w:rPr>
        <w:t>三、高考相对成绩计算方法：</w:t>
      </w:r>
    </w:p>
    <w:p>
      <w:pPr>
        <w:adjustRightInd w:val="0"/>
        <w:snapToGrid w:val="0"/>
        <w:spacing w:line="300" w:lineRule="exact"/>
        <w:ind w:firstLine="3240" w:firstLineChars="1350"/>
        <w:rPr>
          <w:rFonts w:ascii="楷体" w:hAnsi="楷体" w:eastAsia="楷体"/>
          <w:sz w:val="24"/>
        </w:rPr>
      </w:pPr>
      <w:r>
        <w:rPr>
          <w:rFonts w:hint="eastAsia" w:ascii="楷体" w:hAnsi="楷体" w:eastAsia="楷体"/>
          <w:sz w:val="24"/>
        </w:rPr>
        <w:t>学生高考成绩（文/理）</w:t>
      </w:r>
    </w:p>
    <w:p>
      <w:pPr>
        <w:adjustRightInd w:val="0"/>
        <w:snapToGrid w:val="0"/>
        <w:spacing w:line="300" w:lineRule="exact"/>
        <w:ind w:firstLine="840" w:firstLineChars="350"/>
        <w:rPr>
          <w:rFonts w:ascii="楷体" w:hAnsi="楷体" w:eastAsia="楷体"/>
          <w:sz w:val="24"/>
        </w:rPr>
      </w:pPr>
      <w:r>
        <w:rPr>
          <w:rFonts w:hint="eastAsia" w:ascii="楷体" w:hAnsi="楷体" w:eastAsia="楷体"/>
          <w:sz w:val="24"/>
        </w:rPr>
        <w:t>高考相对成绩＝—————————————————×100</w:t>
      </w:r>
    </w:p>
    <w:p>
      <w:pPr>
        <w:adjustRightInd w:val="0"/>
        <w:snapToGrid w:val="0"/>
        <w:spacing w:line="300" w:lineRule="exact"/>
        <w:ind w:left="132" w:leftChars="63" w:firstLine="2520" w:firstLineChars="1050"/>
        <w:rPr>
          <w:rFonts w:ascii="楷体" w:hAnsi="楷体" w:eastAsia="楷体"/>
          <w:sz w:val="24"/>
        </w:rPr>
      </w:pPr>
      <w:r>
        <w:rPr>
          <w:rFonts w:hint="eastAsia" w:ascii="楷体" w:hAnsi="楷体" w:eastAsia="楷体"/>
          <w:sz w:val="24"/>
        </w:rPr>
        <w:t>生源地省市的（文/理）最高高考成绩</w:t>
      </w:r>
    </w:p>
    <w:p>
      <w:pPr>
        <w:spacing w:line="600" w:lineRule="exact"/>
        <w:ind w:firstLine="840" w:firstLineChars="350"/>
        <w:rPr>
          <w:rFonts w:ascii="楷体" w:hAnsi="楷体" w:eastAsia="楷体"/>
          <w:sz w:val="24"/>
        </w:rPr>
      </w:pPr>
      <w:r>
        <w:rPr>
          <w:rFonts w:hint="eastAsia" w:ascii="楷体" w:hAnsi="楷体" w:eastAsia="楷体"/>
          <w:sz w:val="24"/>
        </w:rPr>
        <w:t>不分文理的新高考省份以专业组或专业为统计单元。</w:t>
      </w:r>
    </w:p>
    <w:p>
      <w:pPr>
        <w:adjustRightInd w:val="0"/>
        <w:snapToGrid w:val="0"/>
        <w:spacing w:line="360" w:lineRule="auto"/>
        <w:ind w:firstLine="482" w:firstLineChars="200"/>
        <w:rPr>
          <w:rFonts w:ascii="宋体" w:hAnsi="宋体"/>
          <w:b/>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四、主修专业确认容量安排</w:t>
      </w:r>
    </w:p>
    <w:tbl>
      <w:tblPr>
        <w:tblStyle w:val="6"/>
        <w:tblW w:w="483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1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66" w:type="dxa"/>
            <w:vAlign w:val="center"/>
          </w:tcPr>
          <w:p>
            <w:pPr>
              <w:widowControl/>
              <w:jc w:val="left"/>
              <w:rPr>
                <w:rFonts w:ascii="宋体" w:hAnsi="宋体" w:cs="宋体"/>
                <w:b/>
                <w:bCs/>
                <w:kern w:val="0"/>
                <w:szCs w:val="21"/>
              </w:rPr>
            </w:pPr>
            <w:r>
              <w:rPr>
                <w:rFonts w:hint="eastAsia" w:ascii="宋体" w:hAnsi="宋体" w:cs="宋体"/>
                <w:b/>
                <w:bCs/>
                <w:kern w:val="0"/>
                <w:szCs w:val="21"/>
              </w:rPr>
              <w:t>专业名称</w:t>
            </w:r>
          </w:p>
        </w:tc>
        <w:tc>
          <w:tcPr>
            <w:tcW w:w="1693" w:type="dxa"/>
            <w:shd w:val="clear" w:color="auto" w:fill="auto"/>
            <w:vAlign w:val="center"/>
          </w:tcPr>
          <w:p>
            <w:pPr>
              <w:widowControl/>
              <w:adjustRightInd w:val="0"/>
              <w:snapToGrid w:val="0"/>
              <w:jc w:val="center"/>
              <w:rPr>
                <w:rFonts w:ascii="宋体" w:hAnsi="宋体" w:cs="宋体"/>
                <w:b/>
                <w:bCs/>
                <w:kern w:val="0"/>
                <w:szCs w:val="21"/>
              </w:rPr>
            </w:pPr>
            <w:r>
              <w:rPr>
                <w:rFonts w:hint="eastAsia" w:ascii="宋体" w:hAnsi="宋体" w:cs="宋体"/>
                <w:b/>
                <w:bCs/>
                <w:kern w:val="0"/>
                <w:szCs w:val="21"/>
              </w:rPr>
              <w:t>专业基本容量</w:t>
            </w:r>
            <w:r>
              <w:rPr>
                <w:rFonts w:hint="eastAsia" w:ascii="宋体" w:hAnsi="宋体" w:cs="宋体"/>
                <w:b/>
                <w:bCs/>
                <w:kern w:val="0"/>
                <w:sz w:val="15"/>
                <w:szCs w:val="15"/>
              </w:rPr>
              <w:t>（含三位一体人数）</w:t>
            </w:r>
          </w:p>
        </w:tc>
        <w:tc>
          <w:tcPr>
            <w:tcW w:w="1276" w:type="dxa"/>
            <w:shd w:val="clear" w:color="auto" w:fill="auto"/>
            <w:vAlign w:val="center"/>
          </w:tcPr>
          <w:p>
            <w:pPr>
              <w:widowControl/>
              <w:adjustRightInd w:val="0"/>
              <w:snapToGrid w:val="0"/>
              <w:jc w:val="center"/>
              <w:rPr>
                <w:rFonts w:ascii="宋体" w:hAnsi="宋体" w:cs="宋体"/>
                <w:b/>
                <w:bCs/>
                <w:kern w:val="0"/>
                <w:szCs w:val="21"/>
              </w:rPr>
            </w:pPr>
            <w:r>
              <w:rPr>
                <w:rFonts w:hint="eastAsia" w:ascii="宋体" w:hAnsi="宋体" w:cs="宋体"/>
                <w:b/>
                <w:bCs/>
                <w:kern w:val="0"/>
                <w:szCs w:val="21"/>
              </w:rPr>
              <w:t>第二轮容量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行政管理</w:t>
            </w:r>
          </w:p>
        </w:tc>
        <w:tc>
          <w:tcPr>
            <w:tcW w:w="1693" w:type="dxa"/>
            <w:shd w:val="clear" w:color="auto" w:fill="auto"/>
            <w:noWrap/>
            <w:vAlign w:val="bottom"/>
          </w:tcPr>
          <w:p>
            <w:pPr>
              <w:jc w:val="center"/>
              <w:rPr>
                <w:rFonts w:ascii="宋体" w:hAnsi="宋体" w:cs="宋体"/>
                <w:b/>
                <w:bCs/>
                <w:sz w:val="24"/>
              </w:rPr>
            </w:pPr>
            <w:r>
              <w:rPr>
                <w:rFonts w:hint="eastAsia"/>
                <w:b/>
                <w:bCs/>
              </w:rPr>
              <w:t>35（含6）</w:t>
            </w:r>
          </w:p>
        </w:tc>
        <w:tc>
          <w:tcPr>
            <w:tcW w:w="1276"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劳动与社会保障</w:t>
            </w:r>
          </w:p>
        </w:tc>
        <w:tc>
          <w:tcPr>
            <w:tcW w:w="1693" w:type="dxa"/>
            <w:shd w:val="clear" w:color="auto" w:fill="auto"/>
            <w:noWrap/>
            <w:vAlign w:val="bottom"/>
          </w:tcPr>
          <w:p>
            <w:pPr>
              <w:jc w:val="center"/>
              <w:rPr>
                <w:rFonts w:ascii="宋体" w:hAnsi="宋体" w:cs="宋体"/>
                <w:b/>
                <w:bCs/>
                <w:sz w:val="24"/>
              </w:rPr>
            </w:pPr>
            <w:r>
              <w:rPr>
                <w:rFonts w:hint="eastAsia"/>
                <w:b/>
                <w:bCs/>
              </w:rPr>
              <w:t>35（含6）</w:t>
            </w:r>
          </w:p>
        </w:tc>
        <w:tc>
          <w:tcPr>
            <w:tcW w:w="1276"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土地资源管理</w:t>
            </w:r>
          </w:p>
        </w:tc>
        <w:tc>
          <w:tcPr>
            <w:tcW w:w="1693" w:type="dxa"/>
            <w:shd w:val="clear" w:color="auto" w:fill="auto"/>
            <w:noWrap/>
            <w:vAlign w:val="bottom"/>
          </w:tcPr>
          <w:p>
            <w:pPr>
              <w:jc w:val="center"/>
              <w:rPr>
                <w:rFonts w:ascii="宋体" w:hAnsi="宋体" w:cs="宋体"/>
                <w:b/>
                <w:bCs/>
                <w:sz w:val="24"/>
              </w:rPr>
            </w:pPr>
            <w:r>
              <w:rPr>
                <w:rFonts w:hint="eastAsia"/>
                <w:b/>
                <w:bCs/>
              </w:rPr>
              <w:t>35（含6）</w:t>
            </w:r>
          </w:p>
        </w:tc>
        <w:tc>
          <w:tcPr>
            <w:tcW w:w="1276"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农林经济管理</w:t>
            </w:r>
          </w:p>
        </w:tc>
        <w:tc>
          <w:tcPr>
            <w:tcW w:w="1693" w:type="dxa"/>
            <w:shd w:val="clear" w:color="auto" w:fill="auto"/>
            <w:noWrap/>
            <w:vAlign w:val="bottom"/>
          </w:tcPr>
          <w:p>
            <w:pPr>
              <w:jc w:val="center"/>
              <w:rPr>
                <w:rFonts w:ascii="宋体" w:hAnsi="宋体" w:cs="宋体"/>
                <w:b/>
                <w:bCs/>
                <w:sz w:val="24"/>
              </w:rPr>
            </w:pPr>
            <w:r>
              <w:rPr>
                <w:rFonts w:hint="eastAsia"/>
                <w:b/>
                <w:bCs/>
              </w:rPr>
              <w:t>22（含6）</w:t>
            </w:r>
          </w:p>
        </w:tc>
        <w:tc>
          <w:tcPr>
            <w:tcW w:w="1276" w:type="dxa"/>
            <w:shd w:val="clear" w:color="auto" w:fill="auto"/>
            <w:noWrap/>
            <w:vAlign w:val="bottom"/>
          </w:tcPr>
          <w:p>
            <w:pPr>
              <w:jc w:val="center"/>
              <w:rPr>
                <w:rFonts w:ascii="宋体" w:hAnsi="宋体" w:cs="宋体"/>
                <w:b/>
                <w:bCs/>
                <w:sz w:val="24"/>
              </w:rPr>
            </w:pPr>
            <w:r>
              <w:rPr>
                <w:rFonts w:hint="eastAsia"/>
                <w:b/>
                <w:bC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信息资源管理</w:t>
            </w:r>
          </w:p>
        </w:tc>
        <w:tc>
          <w:tcPr>
            <w:tcW w:w="1693" w:type="dxa"/>
            <w:shd w:val="clear" w:color="auto" w:fill="auto"/>
            <w:noWrap/>
            <w:vAlign w:val="bottom"/>
          </w:tcPr>
          <w:p>
            <w:pPr>
              <w:jc w:val="center"/>
              <w:rPr>
                <w:rFonts w:ascii="宋体" w:hAnsi="宋体" w:cs="宋体"/>
                <w:b/>
                <w:bCs/>
                <w:sz w:val="24"/>
              </w:rPr>
            </w:pPr>
            <w:r>
              <w:rPr>
                <w:rFonts w:hint="eastAsia"/>
                <w:b/>
                <w:bCs/>
              </w:rPr>
              <w:t>20（含5）</w:t>
            </w:r>
          </w:p>
        </w:tc>
        <w:tc>
          <w:tcPr>
            <w:tcW w:w="1276" w:type="dxa"/>
            <w:shd w:val="clear" w:color="auto" w:fill="auto"/>
            <w:noWrap/>
            <w:vAlign w:val="bottom"/>
          </w:tcPr>
          <w:p>
            <w:pPr>
              <w:jc w:val="center"/>
              <w:rPr>
                <w:rFonts w:ascii="宋体" w:hAnsi="宋体" w:cs="宋体"/>
                <w:b/>
                <w:bCs/>
                <w:sz w:val="24"/>
              </w:rPr>
            </w:pPr>
            <w:r>
              <w:rPr>
                <w:rFonts w:hint="eastAsia"/>
                <w:b/>
                <w:bC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政治学与行政学</w:t>
            </w:r>
          </w:p>
        </w:tc>
        <w:tc>
          <w:tcPr>
            <w:tcW w:w="1693" w:type="dxa"/>
            <w:shd w:val="clear" w:color="auto" w:fill="auto"/>
            <w:noWrap/>
            <w:vAlign w:val="bottom"/>
          </w:tcPr>
          <w:p>
            <w:pPr>
              <w:jc w:val="center"/>
              <w:rPr>
                <w:rFonts w:ascii="宋体" w:hAnsi="宋体" w:cs="宋体"/>
                <w:b/>
                <w:bCs/>
                <w:sz w:val="24"/>
              </w:rPr>
            </w:pPr>
            <w:r>
              <w:rPr>
                <w:rFonts w:hint="eastAsia"/>
                <w:b/>
                <w:bCs/>
              </w:rPr>
              <w:t>35（含16）</w:t>
            </w:r>
          </w:p>
        </w:tc>
        <w:tc>
          <w:tcPr>
            <w:tcW w:w="1276"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社会学</w:t>
            </w:r>
          </w:p>
        </w:tc>
        <w:tc>
          <w:tcPr>
            <w:tcW w:w="1693" w:type="dxa"/>
            <w:shd w:val="clear" w:color="auto" w:fill="auto"/>
            <w:noWrap/>
            <w:vAlign w:val="bottom"/>
          </w:tcPr>
          <w:p>
            <w:pPr>
              <w:jc w:val="center"/>
              <w:rPr>
                <w:rFonts w:ascii="宋体" w:hAnsi="宋体" w:cs="宋体"/>
                <w:b/>
                <w:bCs/>
                <w:sz w:val="24"/>
              </w:rPr>
            </w:pPr>
            <w:r>
              <w:rPr>
                <w:rFonts w:hint="eastAsia"/>
                <w:b/>
                <w:bCs/>
              </w:rPr>
              <w:t>23（含14）</w:t>
            </w:r>
          </w:p>
        </w:tc>
        <w:tc>
          <w:tcPr>
            <w:tcW w:w="1276" w:type="dxa"/>
            <w:shd w:val="clear" w:color="auto" w:fill="auto"/>
            <w:noWrap/>
            <w:vAlign w:val="bottom"/>
          </w:tcPr>
          <w:p>
            <w:pPr>
              <w:jc w:val="center"/>
              <w:rPr>
                <w:rFonts w:ascii="宋体" w:hAnsi="宋体" w:cs="宋体"/>
                <w:b/>
                <w:bCs/>
                <w:sz w:val="24"/>
              </w:rPr>
            </w:pPr>
            <w:r>
              <w:rPr>
                <w:rFonts w:hint="eastAsia"/>
                <w:b/>
                <w:bCs/>
              </w:rPr>
              <w:t>5</w:t>
            </w:r>
          </w:p>
        </w:tc>
      </w:tr>
    </w:tbl>
    <w:p>
      <w:pPr>
        <w:tabs>
          <w:tab w:val="left" w:pos="0"/>
        </w:tabs>
        <w:adjustRightInd w:val="0"/>
        <w:snapToGrid w:val="0"/>
        <w:spacing w:line="360" w:lineRule="auto"/>
        <w:ind w:firstLine="472" w:firstLineChars="196"/>
        <w:rPr>
          <w:rFonts w:ascii="宋体" w:hAnsi="宋体"/>
          <w:b/>
          <w:sz w:val="24"/>
        </w:rPr>
      </w:pP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五、主修专业确认工作的程序</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1. 学生本人在学校规定时间内网上递交申请；</w:t>
      </w:r>
    </w:p>
    <w:p>
      <w:pPr>
        <w:adjustRightInd w:val="0"/>
        <w:snapToGrid w:val="0"/>
        <w:spacing w:line="360" w:lineRule="auto"/>
        <w:ind w:firstLine="480" w:firstLineChars="200"/>
        <w:rPr>
          <w:rFonts w:ascii="宋体" w:hAnsi="宋体"/>
          <w:sz w:val="24"/>
        </w:rPr>
      </w:pPr>
      <w:r>
        <w:rPr>
          <w:rFonts w:hint="eastAsia" w:ascii="宋体" w:hAnsi="宋体"/>
          <w:sz w:val="24"/>
        </w:rPr>
        <w:t>2. 申请人数大于规定容量的专业组织学生面试进行遴选；</w:t>
      </w:r>
    </w:p>
    <w:p>
      <w:pPr>
        <w:adjustRightInd w:val="0"/>
        <w:snapToGrid w:val="0"/>
        <w:spacing w:line="360" w:lineRule="auto"/>
        <w:ind w:firstLine="480" w:firstLineChars="200"/>
        <w:rPr>
          <w:rFonts w:ascii="宋体" w:hAnsi="宋体"/>
          <w:sz w:val="24"/>
        </w:rPr>
      </w:pPr>
      <w:r>
        <w:rPr>
          <w:rFonts w:hint="eastAsia" w:ascii="宋体" w:hAnsi="宋体"/>
          <w:sz w:val="24"/>
        </w:rPr>
        <w:t>3. 主修专业确认工作委员会审核；</w:t>
      </w:r>
    </w:p>
    <w:p>
      <w:pPr>
        <w:adjustRightInd w:val="0"/>
        <w:snapToGrid w:val="0"/>
        <w:spacing w:line="360" w:lineRule="auto"/>
        <w:ind w:firstLine="480" w:firstLineChars="200"/>
        <w:rPr>
          <w:rFonts w:ascii="宋体" w:hAnsi="宋体"/>
          <w:sz w:val="24"/>
        </w:rPr>
      </w:pPr>
      <w:r>
        <w:rPr>
          <w:rFonts w:hint="eastAsia" w:ascii="宋体" w:hAnsi="宋体"/>
          <w:sz w:val="24"/>
        </w:rPr>
        <w:t>4. 确认结果在学院网站上公示；</w:t>
      </w:r>
    </w:p>
    <w:p>
      <w:pPr>
        <w:adjustRightInd w:val="0"/>
        <w:snapToGrid w:val="0"/>
        <w:spacing w:line="360" w:lineRule="auto"/>
        <w:ind w:firstLine="480" w:firstLineChars="200"/>
        <w:rPr>
          <w:rFonts w:ascii="宋体" w:hAnsi="宋体"/>
          <w:sz w:val="24"/>
        </w:rPr>
      </w:pPr>
      <w:r>
        <w:rPr>
          <w:rFonts w:hint="eastAsia" w:ascii="宋体" w:hAnsi="宋体"/>
          <w:sz w:val="24"/>
        </w:rPr>
        <w:t>5. 上报学校。</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六、其他</w:t>
      </w:r>
    </w:p>
    <w:p>
      <w:pPr>
        <w:tabs>
          <w:tab w:val="left" w:pos="0"/>
        </w:tabs>
        <w:adjustRightInd w:val="0"/>
        <w:snapToGrid w:val="0"/>
        <w:spacing w:line="360" w:lineRule="auto"/>
        <w:ind w:right="-477" w:rightChars="-227" w:firstLine="470" w:firstLineChars="196"/>
        <w:rPr>
          <w:rFonts w:hint="eastAsia" w:ascii="宋体" w:hAnsi="宋体"/>
          <w:sz w:val="24"/>
        </w:rPr>
      </w:pPr>
      <w:r>
        <w:rPr>
          <w:rFonts w:hint="eastAsia" w:ascii="宋体" w:hAnsi="宋体"/>
          <w:sz w:val="24"/>
        </w:rPr>
        <w:t>1. 公共管理学院本科生教学管理办公室在报名截止日前接受学生一对一咨询。</w:t>
      </w:r>
    </w:p>
    <w:p>
      <w:pPr>
        <w:tabs>
          <w:tab w:val="left" w:pos="0"/>
        </w:tabs>
        <w:adjustRightInd w:val="0"/>
        <w:snapToGrid w:val="0"/>
        <w:spacing w:line="360" w:lineRule="auto"/>
        <w:ind w:firstLine="470" w:firstLineChars="196"/>
        <w:rPr>
          <w:rFonts w:hint="eastAsia" w:ascii="宋体" w:hAnsi="宋体"/>
          <w:sz w:val="24"/>
        </w:rPr>
      </w:pPr>
      <w:r>
        <w:rPr>
          <w:rFonts w:hint="eastAsia" w:ascii="宋体" w:hAnsi="宋体"/>
          <w:sz w:val="24"/>
        </w:rPr>
        <w:t>联系人：王老师  联系电话：56662030</w:t>
      </w:r>
    </w:p>
    <w:p>
      <w:pPr>
        <w:tabs>
          <w:tab w:val="left" w:pos="0"/>
        </w:tabs>
        <w:adjustRightInd w:val="0"/>
        <w:snapToGrid w:val="0"/>
        <w:spacing w:line="360" w:lineRule="auto"/>
        <w:ind w:firstLine="470" w:firstLineChars="196"/>
        <w:rPr>
          <w:rFonts w:hint="eastAsia" w:ascii="宋体" w:hAnsi="宋体"/>
          <w:sz w:val="24"/>
        </w:rPr>
      </w:pPr>
      <w:r>
        <w:rPr>
          <w:rFonts w:hint="eastAsia" w:ascii="宋体" w:hAnsi="宋体"/>
          <w:sz w:val="24"/>
        </w:rPr>
        <w:t>联系人（社会学专业）：周老师  联系电话：88206006</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 xml:space="preserve">2. </w:t>
      </w:r>
      <w:r>
        <w:rPr>
          <w:rFonts w:ascii="宋体" w:hAnsi="宋体"/>
          <w:sz w:val="24"/>
        </w:rPr>
        <w:t>公共管理学院设立</w:t>
      </w:r>
      <w:r>
        <w:rPr>
          <w:rFonts w:hint="eastAsia" w:ascii="宋体" w:hAnsi="宋体"/>
          <w:sz w:val="24"/>
        </w:rPr>
        <w:t>“</w:t>
      </w:r>
      <w:r>
        <w:rPr>
          <w:rFonts w:ascii="宋体" w:hAnsi="宋体"/>
          <w:sz w:val="24"/>
        </w:rPr>
        <w:t>本科生新生学术成长基金</w:t>
      </w:r>
      <w:r>
        <w:rPr>
          <w:rFonts w:hint="eastAsia" w:ascii="宋体" w:hAnsi="宋体"/>
          <w:sz w:val="24"/>
        </w:rPr>
        <w:t>”，对符合条件接收的学生</w:t>
      </w:r>
      <w:r>
        <w:rPr>
          <w:rFonts w:ascii="宋体" w:hAnsi="宋体"/>
          <w:sz w:val="24"/>
        </w:rPr>
        <w:t>给予2000元/人的学业资助</w:t>
      </w:r>
      <w:r>
        <w:rPr>
          <w:rFonts w:hint="eastAsia" w:ascii="宋体" w:hAnsi="宋体"/>
          <w:sz w:val="24"/>
        </w:rPr>
        <w:t>经费。详见附件。</w:t>
      </w:r>
    </w:p>
    <w:p>
      <w:pPr>
        <w:tabs>
          <w:tab w:val="left" w:pos="0"/>
        </w:tabs>
        <w:adjustRightInd w:val="0"/>
        <w:snapToGrid w:val="0"/>
        <w:spacing w:line="360" w:lineRule="auto"/>
        <w:rPr>
          <w:rFonts w:ascii="宋体" w:hAnsi="宋体"/>
          <w:sz w:val="24"/>
        </w:rPr>
      </w:pPr>
      <w:r>
        <w:rPr>
          <w:rFonts w:hint="eastAsia" w:ascii="宋体" w:hAnsi="宋体"/>
          <w:sz w:val="24"/>
        </w:rPr>
        <w:tab/>
      </w:r>
      <w:r>
        <w:rPr>
          <w:rFonts w:hint="eastAsia" w:ascii="宋体" w:hAnsi="宋体"/>
          <w:sz w:val="24"/>
        </w:rPr>
        <w:t>3.本细则由公共管理学院本科生教学管理办公室负责解释。</w:t>
      </w:r>
    </w:p>
    <w:p>
      <w:pPr>
        <w:tabs>
          <w:tab w:val="left" w:pos="0"/>
        </w:tabs>
        <w:adjustRightInd w:val="0"/>
        <w:snapToGrid w:val="0"/>
        <w:spacing w:line="360" w:lineRule="auto"/>
        <w:rPr>
          <w:rFonts w:ascii="宋体" w:hAnsi="宋体"/>
          <w:b/>
          <w:sz w:val="24"/>
        </w:rPr>
      </w:pPr>
    </w:p>
    <w:p>
      <w:pPr>
        <w:adjustRightInd w:val="0"/>
        <w:snapToGrid w:val="0"/>
        <w:spacing w:line="360" w:lineRule="auto"/>
        <w:rPr>
          <w:rFonts w:ascii="宋体" w:hAnsi="宋体"/>
          <w:sz w:val="18"/>
          <w:szCs w:val="18"/>
        </w:rPr>
      </w:pPr>
    </w:p>
    <w:p>
      <w:pPr>
        <w:adjustRightInd w:val="0"/>
        <w:snapToGrid w:val="0"/>
        <w:spacing w:line="360" w:lineRule="auto"/>
        <w:rPr>
          <w:rFonts w:ascii="宋体" w:hAnsi="宋体"/>
          <w:sz w:val="24"/>
        </w:rPr>
      </w:pPr>
      <w:r>
        <w:rPr>
          <w:rFonts w:hint="eastAsia" w:ascii="宋体" w:hAnsi="宋体"/>
          <w:sz w:val="24"/>
        </w:rPr>
        <w:t xml:space="preserve">                                                 公共管理学院</w:t>
      </w:r>
    </w:p>
    <w:p>
      <w:pPr>
        <w:adjustRightInd w:val="0"/>
        <w:snapToGrid w:val="0"/>
        <w:spacing w:line="360" w:lineRule="auto"/>
        <w:rPr>
          <w:rFonts w:ascii="宋体" w:hAnsi="宋体"/>
          <w:sz w:val="24"/>
        </w:rPr>
      </w:pPr>
      <w:r>
        <w:rPr>
          <w:rFonts w:hint="eastAsia" w:ascii="宋体" w:hAnsi="宋体"/>
          <w:sz w:val="24"/>
        </w:rPr>
        <w:t xml:space="preserve">                                                2019年10月10日</w:t>
      </w:r>
      <w:bookmarkStart w:id="0" w:name="_GoBack"/>
      <w:bookmarkEnd w:id="0"/>
    </w:p>
    <w:sectPr>
      <w:pgSz w:w="11906" w:h="16838"/>
      <w:pgMar w:top="1440"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60"/>
    <w:rsid w:val="00012C2E"/>
    <w:rsid w:val="00021BAC"/>
    <w:rsid w:val="00022837"/>
    <w:rsid w:val="0002712A"/>
    <w:rsid w:val="00033E22"/>
    <w:rsid w:val="00051E86"/>
    <w:rsid w:val="000521DC"/>
    <w:rsid w:val="00056810"/>
    <w:rsid w:val="00063853"/>
    <w:rsid w:val="0006411A"/>
    <w:rsid w:val="00076828"/>
    <w:rsid w:val="00091514"/>
    <w:rsid w:val="000A6DF8"/>
    <w:rsid w:val="000B48FD"/>
    <w:rsid w:val="000C287D"/>
    <w:rsid w:val="000C3EC7"/>
    <w:rsid w:val="000C585A"/>
    <w:rsid w:val="00105E86"/>
    <w:rsid w:val="00127C63"/>
    <w:rsid w:val="0013175A"/>
    <w:rsid w:val="00141601"/>
    <w:rsid w:val="001475DE"/>
    <w:rsid w:val="00152070"/>
    <w:rsid w:val="00157009"/>
    <w:rsid w:val="001674F8"/>
    <w:rsid w:val="001729E7"/>
    <w:rsid w:val="0017405C"/>
    <w:rsid w:val="00184FAF"/>
    <w:rsid w:val="00190DD1"/>
    <w:rsid w:val="001A66A1"/>
    <w:rsid w:val="001B08CE"/>
    <w:rsid w:val="001F6EC8"/>
    <w:rsid w:val="00202ED8"/>
    <w:rsid w:val="00203E4E"/>
    <w:rsid w:val="002118E2"/>
    <w:rsid w:val="00211F8C"/>
    <w:rsid w:val="00227B1A"/>
    <w:rsid w:val="00227D59"/>
    <w:rsid w:val="00237FC7"/>
    <w:rsid w:val="002450D4"/>
    <w:rsid w:val="00250F21"/>
    <w:rsid w:val="00252DAE"/>
    <w:rsid w:val="00261934"/>
    <w:rsid w:val="00261DB3"/>
    <w:rsid w:val="00283B5B"/>
    <w:rsid w:val="0029057E"/>
    <w:rsid w:val="002A4F1F"/>
    <w:rsid w:val="002B1DBD"/>
    <w:rsid w:val="002B28B1"/>
    <w:rsid w:val="002B2960"/>
    <w:rsid w:val="002C4F97"/>
    <w:rsid w:val="002D38B2"/>
    <w:rsid w:val="002D6451"/>
    <w:rsid w:val="002E1F29"/>
    <w:rsid w:val="0032099C"/>
    <w:rsid w:val="00361F70"/>
    <w:rsid w:val="00381845"/>
    <w:rsid w:val="003866B2"/>
    <w:rsid w:val="003909C7"/>
    <w:rsid w:val="003B179E"/>
    <w:rsid w:val="003B5984"/>
    <w:rsid w:val="003B71D1"/>
    <w:rsid w:val="003D1438"/>
    <w:rsid w:val="003D7C2F"/>
    <w:rsid w:val="003D7C51"/>
    <w:rsid w:val="003E0660"/>
    <w:rsid w:val="003E16FB"/>
    <w:rsid w:val="003E4F9A"/>
    <w:rsid w:val="003E72AF"/>
    <w:rsid w:val="0043160F"/>
    <w:rsid w:val="0043583C"/>
    <w:rsid w:val="00437668"/>
    <w:rsid w:val="00455556"/>
    <w:rsid w:val="00455C58"/>
    <w:rsid w:val="00465589"/>
    <w:rsid w:val="0047298D"/>
    <w:rsid w:val="004736AE"/>
    <w:rsid w:val="00474FD0"/>
    <w:rsid w:val="004800AA"/>
    <w:rsid w:val="004814C5"/>
    <w:rsid w:val="004911BD"/>
    <w:rsid w:val="004B2121"/>
    <w:rsid w:val="004B4DD8"/>
    <w:rsid w:val="004B69D8"/>
    <w:rsid w:val="004C08AA"/>
    <w:rsid w:val="004D1908"/>
    <w:rsid w:val="004D3427"/>
    <w:rsid w:val="004E2097"/>
    <w:rsid w:val="004E6675"/>
    <w:rsid w:val="004F6541"/>
    <w:rsid w:val="005104C5"/>
    <w:rsid w:val="00526842"/>
    <w:rsid w:val="00527353"/>
    <w:rsid w:val="0053620C"/>
    <w:rsid w:val="00542BF5"/>
    <w:rsid w:val="00544FBF"/>
    <w:rsid w:val="0056568F"/>
    <w:rsid w:val="005840A4"/>
    <w:rsid w:val="005A0FAF"/>
    <w:rsid w:val="005A14C3"/>
    <w:rsid w:val="005A2333"/>
    <w:rsid w:val="005A4812"/>
    <w:rsid w:val="005A796F"/>
    <w:rsid w:val="005D09F2"/>
    <w:rsid w:val="005D4DCC"/>
    <w:rsid w:val="005D6C05"/>
    <w:rsid w:val="005F356F"/>
    <w:rsid w:val="005F7D58"/>
    <w:rsid w:val="00605880"/>
    <w:rsid w:val="006059EB"/>
    <w:rsid w:val="00632390"/>
    <w:rsid w:val="00642933"/>
    <w:rsid w:val="00647413"/>
    <w:rsid w:val="00647CC8"/>
    <w:rsid w:val="00651030"/>
    <w:rsid w:val="00673013"/>
    <w:rsid w:val="00677E59"/>
    <w:rsid w:val="00683EA4"/>
    <w:rsid w:val="00687F11"/>
    <w:rsid w:val="0069339D"/>
    <w:rsid w:val="00697A21"/>
    <w:rsid w:val="006C1F71"/>
    <w:rsid w:val="006D3DCC"/>
    <w:rsid w:val="006D618E"/>
    <w:rsid w:val="006F275E"/>
    <w:rsid w:val="006F4308"/>
    <w:rsid w:val="006F5998"/>
    <w:rsid w:val="0070685C"/>
    <w:rsid w:val="00712917"/>
    <w:rsid w:val="0071750A"/>
    <w:rsid w:val="0073408A"/>
    <w:rsid w:val="0073791A"/>
    <w:rsid w:val="00737CA5"/>
    <w:rsid w:val="00737EFE"/>
    <w:rsid w:val="007709E2"/>
    <w:rsid w:val="007773B7"/>
    <w:rsid w:val="007817D2"/>
    <w:rsid w:val="0079212D"/>
    <w:rsid w:val="007944ED"/>
    <w:rsid w:val="007A73FF"/>
    <w:rsid w:val="007D1C9A"/>
    <w:rsid w:val="007E0AA8"/>
    <w:rsid w:val="007F251C"/>
    <w:rsid w:val="00804ED5"/>
    <w:rsid w:val="0081021B"/>
    <w:rsid w:val="0082695E"/>
    <w:rsid w:val="00826B84"/>
    <w:rsid w:val="00835416"/>
    <w:rsid w:val="00843D85"/>
    <w:rsid w:val="00850D17"/>
    <w:rsid w:val="00862E62"/>
    <w:rsid w:val="00873D86"/>
    <w:rsid w:val="00876644"/>
    <w:rsid w:val="00893AB7"/>
    <w:rsid w:val="0089710F"/>
    <w:rsid w:val="008A60E5"/>
    <w:rsid w:val="008B23F7"/>
    <w:rsid w:val="008B7D7E"/>
    <w:rsid w:val="008C5878"/>
    <w:rsid w:val="008C661F"/>
    <w:rsid w:val="008D2CE4"/>
    <w:rsid w:val="008E41D0"/>
    <w:rsid w:val="008E4FFE"/>
    <w:rsid w:val="009007D9"/>
    <w:rsid w:val="00901851"/>
    <w:rsid w:val="009048A0"/>
    <w:rsid w:val="00904BD6"/>
    <w:rsid w:val="00905DC2"/>
    <w:rsid w:val="009247A1"/>
    <w:rsid w:val="00930EF4"/>
    <w:rsid w:val="0093198E"/>
    <w:rsid w:val="00932E92"/>
    <w:rsid w:val="009407C2"/>
    <w:rsid w:val="00941C3A"/>
    <w:rsid w:val="009432EA"/>
    <w:rsid w:val="009479D9"/>
    <w:rsid w:val="00955D9A"/>
    <w:rsid w:val="00963161"/>
    <w:rsid w:val="0098245A"/>
    <w:rsid w:val="00984297"/>
    <w:rsid w:val="00984B9A"/>
    <w:rsid w:val="00986E7D"/>
    <w:rsid w:val="00986EFB"/>
    <w:rsid w:val="00993077"/>
    <w:rsid w:val="00997CC5"/>
    <w:rsid w:val="009C0288"/>
    <w:rsid w:val="009D0A80"/>
    <w:rsid w:val="009D3120"/>
    <w:rsid w:val="009F4F4A"/>
    <w:rsid w:val="009F5009"/>
    <w:rsid w:val="00A02C16"/>
    <w:rsid w:val="00A04C50"/>
    <w:rsid w:val="00A126C6"/>
    <w:rsid w:val="00A12B35"/>
    <w:rsid w:val="00A25A6D"/>
    <w:rsid w:val="00A30C33"/>
    <w:rsid w:val="00A47939"/>
    <w:rsid w:val="00A512CF"/>
    <w:rsid w:val="00A5386A"/>
    <w:rsid w:val="00A54C44"/>
    <w:rsid w:val="00A663F1"/>
    <w:rsid w:val="00A86315"/>
    <w:rsid w:val="00A90AA8"/>
    <w:rsid w:val="00A920CA"/>
    <w:rsid w:val="00A94F50"/>
    <w:rsid w:val="00AA0363"/>
    <w:rsid w:val="00AA3D37"/>
    <w:rsid w:val="00AB5FD2"/>
    <w:rsid w:val="00AC0951"/>
    <w:rsid w:val="00AC28B5"/>
    <w:rsid w:val="00AC37D1"/>
    <w:rsid w:val="00AC5D73"/>
    <w:rsid w:val="00AD2C7C"/>
    <w:rsid w:val="00AD5EBF"/>
    <w:rsid w:val="00AE11B9"/>
    <w:rsid w:val="00AE56A2"/>
    <w:rsid w:val="00AF5263"/>
    <w:rsid w:val="00B005A3"/>
    <w:rsid w:val="00B03EDC"/>
    <w:rsid w:val="00B053D8"/>
    <w:rsid w:val="00B24BEC"/>
    <w:rsid w:val="00B30BD5"/>
    <w:rsid w:val="00B40C7C"/>
    <w:rsid w:val="00B52B4E"/>
    <w:rsid w:val="00B86337"/>
    <w:rsid w:val="00BA52FA"/>
    <w:rsid w:val="00BA669E"/>
    <w:rsid w:val="00BB39C0"/>
    <w:rsid w:val="00BB57E4"/>
    <w:rsid w:val="00BC3359"/>
    <w:rsid w:val="00BC4A02"/>
    <w:rsid w:val="00BC7582"/>
    <w:rsid w:val="00BD32D7"/>
    <w:rsid w:val="00BE27DF"/>
    <w:rsid w:val="00BF0D82"/>
    <w:rsid w:val="00BF2B5C"/>
    <w:rsid w:val="00C129A6"/>
    <w:rsid w:val="00C15E55"/>
    <w:rsid w:val="00C21CEF"/>
    <w:rsid w:val="00C339BC"/>
    <w:rsid w:val="00C6744C"/>
    <w:rsid w:val="00C71650"/>
    <w:rsid w:val="00C853D1"/>
    <w:rsid w:val="00CB4056"/>
    <w:rsid w:val="00CC4220"/>
    <w:rsid w:val="00CD0C33"/>
    <w:rsid w:val="00CD49C8"/>
    <w:rsid w:val="00CE791E"/>
    <w:rsid w:val="00CF0E42"/>
    <w:rsid w:val="00CF360B"/>
    <w:rsid w:val="00D07757"/>
    <w:rsid w:val="00D166CA"/>
    <w:rsid w:val="00D227F2"/>
    <w:rsid w:val="00D4060A"/>
    <w:rsid w:val="00D4456C"/>
    <w:rsid w:val="00D46C50"/>
    <w:rsid w:val="00D65982"/>
    <w:rsid w:val="00D84FBA"/>
    <w:rsid w:val="00D90FB8"/>
    <w:rsid w:val="00D950D3"/>
    <w:rsid w:val="00D9635D"/>
    <w:rsid w:val="00DD0978"/>
    <w:rsid w:val="00DD755C"/>
    <w:rsid w:val="00DF7C8D"/>
    <w:rsid w:val="00E01055"/>
    <w:rsid w:val="00E07275"/>
    <w:rsid w:val="00E20170"/>
    <w:rsid w:val="00E21C64"/>
    <w:rsid w:val="00E2291F"/>
    <w:rsid w:val="00E369A6"/>
    <w:rsid w:val="00E36E48"/>
    <w:rsid w:val="00E509D4"/>
    <w:rsid w:val="00E51F9E"/>
    <w:rsid w:val="00E60930"/>
    <w:rsid w:val="00E62405"/>
    <w:rsid w:val="00E6592C"/>
    <w:rsid w:val="00E71262"/>
    <w:rsid w:val="00E91F7C"/>
    <w:rsid w:val="00E972D6"/>
    <w:rsid w:val="00EA3130"/>
    <w:rsid w:val="00EA3891"/>
    <w:rsid w:val="00EA446D"/>
    <w:rsid w:val="00EA4A08"/>
    <w:rsid w:val="00ED7A57"/>
    <w:rsid w:val="00EE1ED4"/>
    <w:rsid w:val="00F27C2C"/>
    <w:rsid w:val="00F37FE0"/>
    <w:rsid w:val="00F505AF"/>
    <w:rsid w:val="00F7328B"/>
    <w:rsid w:val="00F87B68"/>
    <w:rsid w:val="00F925BE"/>
    <w:rsid w:val="00F944C6"/>
    <w:rsid w:val="00F9513C"/>
    <w:rsid w:val="00FB7F2F"/>
    <w:rsid w:val="00FD67F7"/>
    <w:rsid w:val="00FE11A8"/>
    <w:rsid w:val="00FE1316"/>
    <w:rsid w:val="00FE224A"/>
    <w:rsid w:val="00FE5876"/>
    <w:rsid w:val="00FF3924"/>
    <w:rsid w:val="00FF6FA2"/>
    <w:rsid w:val="694415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semiHidden/>
    <w:unhideWhenUsed/>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qFormat/>
    <w:uiPriority w:val="34"/>
    <w:pPr>
      <w:ind w:firstLine="420" w:firstLineChars="200"/>
    </w:pPr>
  </w:style>
  <w:style w:type="character" w:customStyle="1" w:styleId="10">
    <w:name w:val="批注框文本 Char"/>
    <w:basedOn w:val="8"/>
    <w:link w:val="3"/>
    <w:semiHidden/>
    <w:uiPriority w:val="99"/>
    <w:rPr>
      <w:rFonts w:ascii="Times New Roman" w:hAnsi="Times New Roman" w:eastAsia="宋体" w:cs="Times New Roman"/>
      <w:sz w:val="18"/>
      <w:szCs w:val="18"/>
    </w:rPr>
  </w:style>
  <w:style w:type="character" w:customStyle="1" w:styleId="11">
    <w:name w:val="页眉 Char"/>
    <w:basedOn w:val="8"/>
    <w:link w:val="5"/>
    <w:uiPriority w:val="99"/>
    <w:rPr>
      <w:rFonts w:ascii="Times New Roman" w:hAnsi="Times New Roman" w:eastAsia="宋体" w:cs="Times New Roman"/>
      <w:sz w:val="18"/>
      <w:szCs w:val="18"/>
    </w:rPr>
  </w:style>
  <w:style w:type="character" w:customStyle="1" w:styleId="12">
    <w:name w:val="页脚 Char"/>
    <w:basedOn w:val="8"/>
    <w:link w:val="4"/>
    <w:uiPriority w:val="99"/>
    <w:rPr>
      <w:rFonts w:ascii="Times New Roman" w:hAnsi="Times New Roman" w:eastAsia="宋体" w:cs="Times New Roman"/>
      <w:sz w:val="18"/>
      <w:szCs w:val="18"/>
    </w:rPr>
  </w:style>
  <w:style w:type="character" w:customStyle="1" w:styleId="13">
    <w:name w:val="日期 Char"/>
    <w:basedOn w:val="8"/>
    <w:link w:val="2"/>
    <w:semiHidden/>
    <w:uiPriority w:val="99"/>
    <w:rPr>
      <w:rFonts w:ascii="Times New Roman" w:hAnsi="Times New Roman" w:eastAsia="宋体" w:cs="Times New Roman"/>
      <w:szCs w:val="24"/>
    </w:rPr>
  </w:style>
  <w:style w:type="paragraph" w:customStyle="1" w:styleId="14">
    <w:name w:val="Default"/>
    <w:qFormat/>
    <w:uiPriority w:val="0"/>
    <w:pPr>
      <w:widowControl w:val="0"/>
      <w:autoSpaceDE w:val="0"/>
      <w:autoSpaceDN w:val="0"/>
      <w:adjustRightInd w:val="0"/>
    </w:pPr>
    <w:rPr>
      <w:rFonts w:ascii="华文中宋" w:hAnsi="华文中宋" w:cs="华文中宋"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Zhejiang University</Company>
  <Pages>3</Pages>
  <Words>299</Words>
  <Characters>1710</Characters>
  <Lines>14</Lines>
  <Paragraphs>4</Paragraphs>
  <TotalTime>127</TotalTime>
  <ScaleCrop>false</ScaleCrop>
  <LinksUpToDate>false</LinksUpToDate>
  <CharactersWithSpaces>2005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2019-09-24T01:43:00Z</dcterms:created>
  <dc:creator>王卫星</dc:creator>
  <cp:lastModifiedBy>小宇溪</cp:lastModifiedBy>
  <cp:lastPrinted>2016-10-17T06:46:00Z</cp:lastPrinted>
  <dcterms:modified xsi:type="dcterms:W3CDTF">2019-10-12T02:50:34Z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