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spacing w:before="0" w:after="0" w:line="360" w:lineRule="auto"/>
        <w:jc w:val="center"/>
        <w:rPr>
          <w:sz w:val="28"/>
          <w:szCs w:val="24"/>
        </w:rPr>
      </w:pPr>
      <w:r>
        <w:rPr>
          <w:sz w:val="28"/>
          <w:szCs w:val="24"/>
        </w:rPr>
        <w:t>201</w:t>
      </w:r>
      <w:r>
        <w:rPr>
          <w:rFonts w:hint="eastAsia"/>
          <w:sz w:val="28"/>
          <w:szCs w:val="24"/>
        </w:rPr>
        <w:t>9</w:t>
      </w:r>
      <w:r>
        <w:rPr>
          <w:sz w:val="28"/>
          <w:szCs w:val="24"/>
        </w:rPr>
        <w:t>级药学院主修专业确认工作细则</w:t>
      </w:r>
    </w:p>
    <w:p>
      <w:pPr>
        <w:spacing w:line="360" w:lineRule="auto"/>
        <w:jc w:val="center"/>
        <w:rPr>
          <w:sz w:val="24"/>
        </w:rPr>
      </w:pPr>
      <w:r>
        <w:rPr>
          <w:sz w:val="24"/>
        </w:rPr>
        <w:t>（201</w:t>
      </w:r>
      <w:r>
        <w:rPr>
          <w:rFonts w:hint="eastAsia"/>
          <w:sz w:val="24"/>
        </w:rPr>
        <w:t>9</w:t>
      </w:r>
      <w:r>
        <w:rPr>
          <w:sz w:val="24"/>
        </w:rPr>
        <w:t>年10月）</w:t>
      </w:r>
    </w:p>
    <w:p>
      <w:pPr>
        <w:spacing w:line="360" w:lineRule="auto"/>
        <w:ind w:firstLine="480" w:firstLineChars="200"/>
        <w:rPr>
          <w:sz w:val="24"/>
        </w:rPr>
      </w:pPr>
      <w:r>
        <w:rPr>
          <w:sz w:val="24"/>
        </w:rPr>
        <w:t>201</w:t>
      </w:r>
      <w:r>
        <w:rPr>
          <w:rFonts w:hint="eastAsia"/>
          <w:sz w:val="24"/>
        </w:rPr>
        <w:t>9</w:t>
      </w:r>
      <w:r>
        <w:rPr>
          <w:sz w:val="24"/>
        </w:rPr>
        <w:t>级药学院主修专业确认工作由药学院主修专业确认工作小组负责进行。按照浙大发本【2016】109 号《浙江大学本科生主修专业确认办法》执行。</w:t>
      </w:r>
    </w:p>
    <w:p>
      <w:pPr>
        <w:spacing w:line="360" w:lineRule="auto"/>
        <w:rPr>
          <w:sz w:val="24"/>
        </w:rPr>
      </w:pPr>
    </w:p>
    <w:p>
      <w:pPr>
        <w:spacing w:beforeLines="50" w:afterLines="50" w:line="360" w:lineRule="auto"/>
        <w:rPr>
          <w:b/>
          <w:sz w:val="24"/>
        </w:rPr>
      </w:pPr>
      <w:r>
        <w:rPr>
          <w:b/>
          <w:sz w:val="24"/>
        </w:rPr>
        <w:t>一、药学院主修专业确认工作</w:t>
      </w:r>
      <w:r>
        <w:rPr>
          <w:rFonts w:hint="eastAsia"/>
          <w:b/>
          <w:sz w:val="24"/>
        </w:rPr>
        <w:t>小组</w:t>
      </w:r>
    </w:p>
    <w:p>
      <w:pPr>
        <w:spacing w:line="360" w:lineRule="auto"/>
        <w:ind w:firstLine="480" w:firstLineChars="200"/>
        <w:rPr>
          <w:sz w:val="24"/>
        </w:rPr>
      </w:pPr>
      <w:r>
        <w:rPr>
          <w:sz w:val="24"/>
        </w:rPr>
        <w:t>组长：杨波（学院院长）</w:t>
      </w:r>
    </w:p>
    <w:p>
      <w:pPr>
        <w:spacing w:line="360" w:lineRule="auto"/>
        <w:ind w:firstLine="480" w:firstLineChars="200"/>
        <w:rPr>
          <w:sz w:val="24"/>
        </w:rPr>
      </w:pPr>
      <w:r>
        <w:rPr>
          <w:sz w:val="24"/>
        </w:rPr>
        <w:t>副组长：范骁辉（分管教学工作副院长）</w:t>
      </w:r>
    </w:p>
    <w:p>
      <w:pPr>
        <w:spacing w:line="360" w:lineRule="auto"/>
        <w:ind w:firstLine="1440" w:firstLineChars="600"/>
        <w:rPr>
          <w:sz w:val="24"/>
        </w:rPr>
      </w:pPr>
      <w:r>
        <w:rPr>
          <w:sz w:val="24"/>
        </w:rPr>
        <w:t>王芳（分管学生工作副书记）</w:t>
      </w:r>
    </w:p>
    <w:p>
      <w:pPr>
        <w:spacing w:line="360" w:lineRule="auto"/>
        <w:ind w:firstLine="480" w:firstLineChars="200"/>
        <w:rPr>
          <w:sz w:val="24"/>
        </w:rPr>
      </w:pPr>
      <w:r>
        <w:rPr>
          <w:sz w:val="24"/>
        </w:rPr>
        <w:t>成员：杨波、胡富强、范骁辉、王芳、</w:t>
      </w:r>
      <w:r>
        <w:rPr>
          <w:rFonts w:hint="eastAsia"/>
          <w:sz w:val="24"/>
        </w:rPr>
        <w:t>张翔南</w:t>
      </w:r>
      <w:r>
        <w:rPr>
          <w:sz w:val="24"/>
        </w:rPr>
        <w:t>、丁玲、董晓武、彭丽华、周展</w:t>
      </w:r>
      <w:r>
        <w:rPr>
          <w:rFonts w:hint="eastAsia"/>
          <w:sz w:val="24"/>
        </w:rPr>
        <w:t>、盛荣</w:t>
      </w:r>
      <w:r>
        <w:rPr>
          <w:sz w:val="24"/>
        </w:rPr>
        <w:t>、</w:t>
      </w:r>
      <w:r>
        <w:rPr>
          <w:rFonts w:hint="eastAsia"/>
          <w:sz w:val="24"/>
        </w:rPr>
        <w:t>王金成</w:t>
      </w:r>
      <w:r>
        <w:rPr>
          <w:sz w:val="24"/>
        </w:rPr>
        <w:t>、</w:t>
      </w:r>
      <w:r>
        <w:rPr>
          <w:rFonts w:hint="eastAsia"/>
          <w:sz w:val="24"/>
        </w:rPr>
        <w:t>翁勤洁</w:t>
      </w:r>
      <w:r>
        <w:rPr>
          <w:sz w:val="24"/>
        </w:rPr>
        <w:t>、朱卡林、沈丽娟</w:t>
      </w:r>
      <w:r>
        <w:rPr>
          <w:rFonts w:hint="eastAsia"/>
          <w:sz w:val="24"/>
        </w:rPr>
        <w:t>、杜亚男</w:t>
      </w:r>
    </w:p>
    <w:p>
      <w:pPr>
        <w:spacing w:line="360" w:lineRule="auto"/>
        <w:rPr>
          <w:sz w:val="24"/>
        </w:rPr>
      </w:pPr>
    </w:p>
    <w:p>
      <w:pPr>
        <w:spacing w:beforeLines="50" w:afterLines="50" w:line="360" w:lineRule="auto"/>
        <w:rPr>
          <w:b/>
          <w:sz w:val="24"/>
        </w:rPr>
      </w:pPr>
      <w:r>
        <w:rPr>
          <w:b/>
          <w:sz w:val="24"/>
        </w:rPr>
        <w:t>二、各专业容量安排</w:t>
      </w:r>
    </w:p>
    <w:tbl>
      <w:tblPr>
        <w:tblStyle w:val="6"/>
        <w:tblW w:w="91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975"/>
        <w:gridCol w:w="1267"/>
        <w:gridCol w:w="3271"/>
        <w:gridCol w:w="1310"/>
        <w:gridCol w:w="1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9" w:hRule="atLeast"/>
          <w:jc w:val="center"/>
        </w:trPr>
        <w:tc>
          <w:tcPr>
            <w:tcW w:w="1242" w:type="dxa"/>
            <w:shd w:val="clear" w:color="auto" w:fill="auto"/>
            <w:vAlign w:val="center"/>
          </w:tcPr>
          <w:p>
            <w:pPr>
              <w:spacing w:line="360" w:lineRule="auto"/>
              <w:jc w:val="center"/>
              <w:rPr>
                <w:b/>
                <w:color w:val="000000"/>
                <w:sz w:val="24"/>
              </w:rPr>
            </w:pPr>
            <w:r>
              <w:rPr>
                <w:b/>
                <w:color w:val="000000"/>
                <w:sz w:val="24"/>
              </w:rPr>
              <w:t>专业</w:t>
            </w:r>
          </w:p>
        </w:tc>
        <w:tc>
          <w:tcPr>
            <w:tcW w:w="975" w:type="dxa"/>
            <w:shd w:val="clear" w:color="auto" w:fill="auto"/>
            <w:vAlign w:val="center"/>
          </w:tcPr>
          <w:p>
            <w:pPr>
              <w:spacing w:line="360" w:lineRule="auto"/>
              <w:jc w:val="center"/>
              <w:rPr>
                <w:b/>
                <w:color w:val="000000"/>
                <w:sz w:val="24"/>
              </w:rPr>
            </w:pPr>
            <w:r>
              <w:rPr>
                <w:b/>
                <w:color w:val="000000"/>
                <w:sz w:val="24"/>
              </w:rPr>
              <w:t>学制</w:t>
            </w:r>
          </w:p>
        </w:tc>
        <w:tc>
          <w:tcPr>
            <w:tcW w:w="1267" w:type="dxa"/>
            <w:shd w:val="clear" w:color="auto" w:fill="auto"/>
            <w:vAlign w:val="center"/>
          </w:tcPr>
          <w:p>
            <w:pPr>
              <w:spacing w:line="360" w:lineRule="auto"/>
              <w:jc w:val="center"/>
              <w:rPr>
                <w:b/>
                <w:color w:val="000000"/>
                <w:sz w:val="24"/>
              </w:rPr>
            </w:pPr>
            <w:r>
              <w:rPr>
                <w:b/>
                <w:color w:val="000000"/>
                <w:sz w:val="24"/>
              </w:rPr>
              <w:t>招生人数</w:t>
            </w:r>
          </w:p>
        </w:tc>
        <w:tc>
          <w:tcPr>
            <w:tcW w:w="3271" w:type="dxa"/>
            <w:vAlign w:val="center"/>
          </w:tcPr>
          <w:p>
            <w:pPr>
              <w:spacing w:line="360" w:lineRule="auto"/>
              <w:jc w:val="center"/>
              <w:rPr>
                <w:b/>
                <w:color w:val="000000"/>
                <w:sz w:val="24"/>
              </w:rPr>
            </w:pPr>
            <w:r>
              <w:rPr>
                <w:b/>
                <w:color w:val="000000"/>
                <w:sz w:val="24"/>
              </w:rPr>
              <w:t>第一轮类内容量</w:t>
            </w:r>
          </w:p>
        </w:tc>
        <w:tc>
          <w:tcPr>
            <w:tcW w:w="1310" w:type="dxa"/>
            <w:vAlign w:val="center"/>
          </w:tcPr>
          <w:p>
            <w:pPr>
              <w:spacing w:line="360" w:lineRule="auto"/>
              <w:jc w:val="center"/>
              <w:rPr>
                <w:b/>
                <w:color w:val="000000"/>
                <w:sz w:val="24"/>
              </w:rPr>
            </w:pPr>
            <w:r>
              <w:rPr>
                <w:b/>
                <w:color w:val="000000"/>
                <w:sz w:val="24"/>
              </w:rPr>
              <w:t>第二轮</w:t>
            </w:r>
          </w:p>
          <w:p>
            <w:pPr>
              <w:spacing w:line="360" w:lineRule="auto"/>
              <w:jc w:val="center"/>
              <w:rPr>
                <w:b/>
                <w:color w:val="000000"/>
                <w:sz w:val="24"/>
              </w:rPr>
            </w:pPr>
            <w:r>
              <w:rPr>
                <w:b/>
                <w:color w:val="000000"/>
                <w:sz w:val="24"/>
              </w:rPr>
              <w:t>跨类容量</w:t>
            </w:r>
          </w:p>
        </w:tc>
        <w:tc>
          <w:tcPr>
            <w:tcW w:w="1115" w:type="dxa"/>
            <w:vAlign w:val="center"/>
          </w:tcPr>
          <w:p>
            <w:pPr>
              <w:spacing w:line="360" w:lineRule="auto"/>
              <w:jc w:val="center"/>
              <w:rPr>
                <w:b/>
                <w:color w:val="000000"/>
                <w:sz w:val="24"/>
              </w:rPr>
            </w:pPr>
            <w:r>
              <w:rPr>
                <w:b/>
                <w:color w:val="000000"/>
                <w:sz w:val="24"/>
              </w:rPr>
              <w:t>转专业容量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7" w:hRule="atLeast"/>
          <w:jc w:val="center"/>
        </w:trPr>
        <w:tc>
          <w:tcPr>
            <w:tcW w:w="1242" w:type="dxa"/>
            <w:shd w:val="clear" w:color="auto" w:fill="auto"/>
            <w:vAlign w:val="center"/>
          </w:tcPr>
          <w:p>
            <w:pPr>
              <w:spacing w:line="360" w:lineRule="auto"/>
              <w:jc w:val="center"/>
              <w:rPr>
                <w:color w:val="000000"/>
                <w:sz w:val="24"/>
              </w:rPr>
            </w:pPr>
            <w:r>
              <w:rPr>
                <w:color w:val="000000"/>
                <w:sz w:val="24"/>
              </w:rPr>
              <w:t>药学</w:t>
            </w:r>
          </w:p>
        </w:tc>
        <w:tc>
          <w:tcPr>
            <w:tcW w:w="975" w:type="dxa"/>
            <w:shd w:val="clear" w:color="auto" w:fill="auto"/>
            <w:vAlign w:val="center"/>
          </w:tcPr>
          <w:p>
            <w:pPr>
              <w:spacing w:line="360" w:lineRule="auto"/>
              <w:jc w:val="center"/>
              <w:rPr>
                <w:color w:val="000000"/>
                <w:sz w:val="24"/>
              </w:rPr>
            </w:pPr>
            <w:r>
              <w:rPr>
                <w:color w:val="000000"/>
                <w:sz w:val="24"/>
              </w:rPr>
              <w:t>4</w:t>
            </w:r>
          </w:p>
        </w:tc>
        <w:tc>
          <w:tcPr>
            <w:tcW w:w="1267" w:type="dxa"/>
            <w:shd w:val="clear" w:color="auto" w:fill="auto"/>
            <w:vAlign w:val="center"/>
          </w:tcPr>
          <w:p>
            <w:pPr>
              <w:spacing w:line="360" w:lineRule="auto"/>
              <w:jc w:val="center"/>
              <w:rPr>
                <w:rFonts w:hint="default" w:eastAsia="宋体"/>
                <w:color w:val="000000"/>
                <w:sz w:val="24"/>
                <w:lang w:val="en-US" w:eastAsia="zh-CN"/>
              </w:rPr>
            </w:pPr>
            <w:r>
              <w:rPr>
                <w:rFonts w:hint="eastAsia"/>
                <w:color w:val="000000"/>
                <w:sz w:val="24"/>
                <w:lang w:val="en-US" w:eastAsia="zh-CN"/>
              </w:rPr>
              <w:t>109</w:t>
            </w:r>
          </w:p>
        </w:tc>
        <w:tc>
          <w:tcPr>
            <w:tcW w:w="3271" w:type="dxa"/>
            <w:vAlign w:val="center"/>
          </w:tcPr>
          <w:p>
            <w:pPr>
              <w:spacing w:line="360" w:lineRule="auto"/>
              <w:jc w:val="center"/>
              <w:rPr>
                <w:rFonts w:hint="default" w:eastAsia="宋体"/>
                <w:color w:val="000000"/>
                <w:sz w:val="24"/>
                <w:lang w:val="en-US" w:eastAsia="zh-CN"/>
              </w:rPr>
            </w:pPr>
            <w:r>
              <w:rPr>
                <w:rFonts w:hint="eastAsia"/>
                <w:color w:val="000000"/>
                <w:sz w:val="24"/>
                <w:lang w:val="en-US" w:eastAsia="zh-CN"/>
              </w:rPr>
              <w:t>109</w:t>
            </w:r>
            <w:bookmarkStart w:id="0" w:name="_GoBack"/>
            <w:bookmarkEnd w:id="0"/>
          </w:p>
        </w:tc>
        <w:tc>
          <w:tcPr>
            <w:tcW w:w="1310" w:type="dxa"/>
            <w:vAlign w:val="center"/>
          </w:tcPr>
          <w:p>
            <w:pPr>
              <w:spacing w:line="360" w:lineRule="auto"/>
              <w:jc w:val="center"/>
              <w:rPr>
                <w:color w:val="000000"/>
                <w:sz w:val="24"/>
              </w:rPr>
            </w:pPr>
            <w:r>
              <w:rPr>
                <w:rFonts w:hint="eastAsia"/>
                <w:color w:val="000000"/>
                <w:sz w:val="24"/>
              </w:rPr>
              <w:t>6</w:t>
            </w:r>
          </w:p>
        </w:tc>
        <w:tc>
          <w:tcPr>
            <w:tcW w:w="1115" w:type="dxa"/>
            <w:vAlign w:val="center"/>
          </w:tcPr>
          <w:p>
            <w:pPr>
              <w:spacing w:line="360" w:lineRule="auto"/>
              <w:jc w:val="center"/>
              <w:rPr>
                <w:color w:val="000000"/>
                <w:sz w:val="24"/>
              </w:rPr>
            </w:pPr>
            <w:r>
              <w:rPr>
                <w:color w:val="000000"/>
                <w:sz w:val="24"/>
              </w:rPr>
              <w:t>余量</w:t>
            </w:r>
          </w:p>
        </w:tc>
      </w:tr>
    </w:tbl>
    <w:p>
      <w:pPr>
        <w:spacing w:line="360" w:lineRule="auto"/>
        <w:ind w:firstLine="480" w:firstLineChars="200"/>
        <w:rPr>
          <w:sz w:val="24"/>
        </w:rPr>
      </w:pPr>
      <w:r>
        <w:rPr>
          <w:color w:val="000000"/>
          <w:sz w:val="24"/>
        </w:rPr>
        <w:t>注：</w:t>
      </w:r>
      <w:r>
        <w:rPr>
          <w:sz w:val="24"/>
        </w:rPr>
        <w:t>1. 第一轮确认只接收类内申请，安排在第一学年秋学期第5-8周。第一轮申请人数上限为各专业类内容量数；</w:t>
      </w:r>
    </w:p>
    <w:p>
      <w:pPr>
        <w:spacing w:line="360" w:lineRule="auto"/>
        <w:ind w:firstLine="480" w:firstLineChars="200"/>
        <w:rPr>
          <w:sz w:val="24"/>
        </w:rPr>
      </w:pPr>
      <w:r>
        <w:rPr>
          <w:sz w:val="24"/>
        </w:rPr>
        <w:t xml:space="preserve"> 2. 第二轮确认可接收跨类申请，安排在第一学年冬学期第2-4周。第二轮类外学生接收人数不超过专业类内容量的5%。</w:t>
      </w:r>
    </w:p>
    <w:p>
      <w:pPr>
        <w:spacing w:beforeLines="50" w:afterLines="50" w:line="360" w:lineRule="auto"/>
        <w:rPr>
          <w:b/>
          <w:sz w:val="24"/>
        </w:rPr>
      </w:pPr>
    </w:p>
    <w:p>
      <w:pPr>
        <w:spacing w:beforeLines="50" w:afterLines="50" w:line="360" w:lineRule="auto"/>
        <w:rPr>
          <w:b/>
          <w:sz w:val="24"/>
        </w:rPr>
      </w:pPr>
      <w:r>
        <w:rPr>
          <w:b/>
          <w:sz w:val="24"/>
        </w:rPr>
        <w:t>三、专业接收要求</w:t>
      </w:r>
    </w:p>
    <w:p>
      <w:pPr>
        <w:spacing w:line="360" w:lineRule="auto"/>
        <w:ind w:firstLine="480" w:firstLineChars="200"/>
        <w:rPr>
          <w:sz w:val="24"/>
        </w:rPr>
      </w:pPr>
      <w:r>
        <w:rPr>
          <w:sz w:val="24"/>
        </w:rPr>
        <w:t>1. 浙江大学主代码学生可以确认到医药单独代码的医学试验班类（临床五年制）、医学试验班类（预防医学）和药学类。学生在不同招生代码间进行主修专业确认或转专业时，须满足高考分数达到同年目标专业对应招生代码所在生源地的高考最低录取分数线。</w:t>
      </w:r>
    </w:p>
    <w:p>
      <w:pPr>
        <w:spacing w:line="360" w:lineRule="auto"/>
        <w:ind w:firstLine="480" w:firstLineChars="200"/>
        <w:rPr>
          <w:sz w:val="24"/>
        </w:rPr>
      </w:pPr>
      <w:r>
        <w:rPr>
          <w:sz w:val="24"/>
        </w:rPr>
        <w:t>2. 每位申请学生在现代教务系统中一次性提交</w:t>
      </w:r>
      <w:r>
        <w:rPr>
          <w:rFonts w:hint="eastAsia"/>
          <w:sz w:val="24"/>
        </w:rPr>
        <w:t>志愿申请。</w:t>
      </w:r>
    </w:p>
    <w:p>
      <w:pPr>
        <w:spacing w:line="360" w:lineRule="auto"/>
        <w:ind w:firstLine="480" w:firstLineChars="200"/>
        <w:rPr>
          <w:sz w:val="24"/>
        </w:rPr>
      </w:pPr>
      <w:r>
        <w:rPr>
          <w:rFonts w:hint="eastAsia"/>
          <w:sz w:val="24"/>
        </w:rPr>
        <w:t>3</w:t>
      </w:r>
      <w:r>
        <w:rPr>
          <w:sz w:val="24"/>
        </w:rPr>
        <w:t>. 跨类学生</w:t>
      </w:r>
    </w:p>
    <w:p>
      <w:pPr>
        <w:spacing w:line="360" w:lineRule="auto"/>
        <w:ind w:firstLine="480" w:firstLineChars="200"/>
        <w:rPr>
          <w:sz w:val="24"/>
        </w:rPr>
      </w:pPr>
      <w:r>
        <w:rPr>
          <w:sz w:val="24"/>
        </w:rPr>
        <w:t>（1） 限高考理科专业学生且浙江省和上海市生源地学生跨类确认应符合选考科目（物理、化学、生物）要求。</w:t>
      </w:r>
    </w:p>
    <w:p>
      <w:pPr>
        <w:spacing w:line="360" w:lineRule="auto"/>
        <w:ind w:firstLine="480" w:firstLineChars="200"/>
        <w:rPr>
          <w:sz w:val="24"/>
        </w:rPr>
      </w:pPr>
      <w:r>
        <w:rPr>
          <w:sz w:val="24"/>
        </w:rPr>
        <w:t>（2） 身心健康，符合国家有关本专业体检标准，不接受色弱和色盲学生，不接受违纪处分学生。</w:t>
      </w:r>
    </w:p>
    <w:p>
      <w:pPr>
        <w:spacing w:line="360" w:lineRule="auto"/>
        <w:ind w:firstLine="480" w:firstLineChars="200"/>
        <w:rPr>
          <w:sz w:val="24"/>
        </w:rPr>
      </w:pPr>
      <w:r>
        <w:rPr>
          <w:sz w:val="24"/>
        </w:rPr>
        <w:t>（3）当学生申请专业志愿累计数大于专业接收容量（扣除接收转专业学生的保留容量）时，该专业将组织面试等方式进行遴选。</w:t>
      </w:r>
    </w:p>
    <w:p>
      <w:pPr>
        <w:spacing w:line="360" w:lineRule="auto"/>
        <w:ind w:firstLine="480" w:firstLineChars="200"/>
        <w:rPr>
          <w:sz w:val="24"/>
        </w:rPr>
      </w:pPr>
      <w:r>
        <w:rPr>
          <w:rFonts w:hint="eastAsia"/>
          <w:sz w:val="24"/>
        </w:rPr>
        <w:t>4</w:t>
      </w:r>
      <w:r>
        <w:rPr>
          <w:sz w:val="24"/>
        </w:rPr>
        <w:t>. 转专业学生</w:t>
      </w:r>
    </w:p>
    <w:p>
      <w:pPr>
        <w:spacing w:line="360" w:lineRule="auto"/>
        <w:ind w:firstLine="480" w:firstLineChars="200"/>
        <w:rPr>
          <w:sz w:val="24"/>
        </w:rPr>
      </w:pPr>
      <w:r>
        <w:rPr>
          <w:sz w:val="24"/>
        </w:rPr>
        <w:t>（1） 限高考理科专业学生。</w:t>
      </w:r>
    </w:p>
    <w:p>
      <w:pPr>
        <w:spacing w:line="360" w:lineRule="auto"/>
        <w:ind w:firstLine="480" w:firstLineChars="200"/>
        <w:rPr>
          <w:sz w:val="24"/>
        </w:rPr>
      </w:pPr>
      <w:r>
        <w:rPr>
          <w:sz w:val="24"/>
        </w:rPr>
        <w:t>（2） 身心健康，符合国家有关本专业体检标准，不接受色弱和色盲学生，不接受违纪处分学生。</w:t>
      </w:r>
    </w:p>
    <w:p>
      <w:pPr>
        <w:spacing w:line="360" w:lineRule="auto"/>
        <w:ind w:firstLine="480" w:firstLineChars="200"/>
        <w:rPr>
          <w:sz w:val="24"/>
        </w:rPr>
      </w:pPr>
      <w:r>
        <w:rPr>
          <w:sz w:val="24"/>
        </w:rPr>
        <w:t>（3）转专业学生建议修读以下前置课程：无机及分析化学、大学化学实验（G）、有机化学、大学化学实验（O）、高等数学、大学物理（丙）、大学物理实验（丙）、中级有机化学、物理化学、大学化学实验（P）、细胞生物学及实验（乙）、生物化学与分子生物学。</w:t>
      </w:r>
    </w:p>
    <w:p>
      <w:pPr>
        <w:spacing w:line="360" w:lineRule="auto"/>
        <w:ind w:firstLine="480" w:firstLineChars="200"/>
        <w:rPr>
          <w:sz w:val="24"/>
        </w:rPr>
      </w:pPr>
      <w:r>
        <w:rPr>
          <w:sz w:val="24"/>
        </w:rPr>
        <w:t>（4）所有课程平均绩点不低于3.0，每个长学期有效学分不低于20.</w:t>
      </w:r>
    </w:p>
    <w:p>
      <w:pPr>
        <w:spacing w:beforeLines="50" w:afterLines="50" w:line="360" w:lineRule="auto"/>
        <w:rPr>
          <w:b/>
          <w:sz w:val="24"/>
        </w:rPr>
      </w:pPr>
    </w:p>
    <w:p>
      <w:pPr>
        <w:spacing w:beforeLines="50" w:afterLines="50" w:line="360" w:lineRule="auto"/>
        <w:rPr>
          <w:b/>
          <w:sz w:val="24"/>
        </w:rPr>
      </w:pPr>
      <w:r>
        <w:rPr>
          <w:b/>
          <w:sz w:val="24"/>
        </w:rPr>
        <w:t>四、主修专业确认工作的程序</w:t>
      </w:r>
    </w:p>
    <w:p>
      <w:pPr>
        <w:spacing w:line="360" w:lineRule="auto"/>
        <w:ind w:left="420" w:leftChars="200"/>
        <w:rPr>
          <w:sz w:val="24"/>
        </w:rPr>
      </w:pPr>
      <w:r>
        <w:rPr>
          <w:sz w:val="24"/>
        </w:rPr>
        <w:t>1. 学生本人在学校规定时间内递交申请；</w:t>
      </w:r>
    </w:p>
    <w:p>
      <w:pPr>
        <w:spacing w:line="360" w:lineRule="auto"/>
        <w:ind w:left="420" w:leftChars="200"/>
        <w:rPr>
          <w:sz w:val="24"/>
        </w:rPr>
      </w:pPr>
      <w:r>
        <w:rPr>
          <w:sz w:val="24"/>
        </w:rPr>
        <w:t>2. 主修专业确认工作小组审核；</w:t>
      </w:r>
    </w:p>
    <w:p>
      <w:pPr>
        <w:spacing w:line="360" w:lineRule="auto"/>
        <w:ind w:left="420" w:leftChars="200"/>
        <w:rPr>
          <w:sz w:val="24"/>
        </w:rPr>
      </w:pPr>
      <w:r>
        <w:rPr>
          <w:sz w:val="24"/>
        </w:rPr>
        <w:t>3. 学院根据申请学生情况组织面谈和面试并对超容量专业学生进行筛选；</w:t>
      </w:r>
    </w:p>
    <w:p>
      <w:pPr>
        <w:spacing w:line="360" w:lineRule="auto"/>
        <w:ind w:left="420" w:leftChars="200"/>
        <w:rPr>
          <w:sz w:val="24"/>
        </w:rPr>
      </w:pPr>
      <w:r>
        <w:rPr>
          <w:sz w:val="24"/>
        </w:rPr>
        <w:t>4. 确认结果予以公示；</w:t>
      </w:r>
    </w:p>
    <w:p>
      <w:pPr>
        <w:spacing w:line="360" w:lineRule="auto"/>
        <w:ind w:left="420" w:leftChars="200"/>
        <w:rPr>
          <w:b/>
          <w:sz w:val="24"/>
        </w:rPr>
      </w:pPr>
      <w:r>
        <w:rPr>
          <w:sz w:val="24"/>
        </w:rPr>
        <w:t>5. 上报学校</w:t>
      </w:r>
      <w:r>
        <w:rPr>
          <w:rFonts w:hint="eastAsia"/>
          <w:sz w:val="24"/>
        </w:rPr>
        <w:t>。</w:t>
      </w:r>
    </w:p>
    <w:p>
      <w:pPr>
        <w:spacing w:beforeLines="50" w:afterLines="50" w:line="360" w:lineRule="auto"/>
        <w:rPr>
          <w:b/>
          <w:sz w:val="24"/>
        </w:rPr>
        <w:sectPr>
          <w:footerReference r:id="rId3" w:type="default"/>
          <w:pgSz w:w="11906" w:h="16838"/>
          <w:pgMar w:top="1021" w:right="1588" w:bottom="851" w:left="1588" w:header="851" w:footer="992" w:gutter="0"/>
          <w:pgNumType w:start="1"/>
          <w:cols w:space="720" w:num="1"/>
          <w:docGrid w:type="lines" w:linePitch="312" w:charSpace="0"/>
        </w:sectPr>
      </w:pPr>
      <w:r>
        <w:rPr>
          <w:b/>
          <w:sz w:val="24"/>
        </w:rPr>
        <w:t>五、本细则由药学院本科生科负责解释</w:t>
      </w:r>
    </w:p>
    <w:p>
      <w:pPr>
        <w:jc w:val="left"/>
        <w:rPr>
          <w:sz w:val="24"/>
        </w:rPr>
      </w:pPr>
    </w:p>
    <w:sectPr>
      <w:pgSz w:w="11906" w:h="16838"/>
      <w:pgMar w:top="1021" w:right="1588" w:bottom="851"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117"/>
    <w:rsid w:val="0000426E"/>
    <w:rsid w:val="00023E68"/>
    <w:rsid w:val="00025400"/>
    <w:rsid w:val="0004435D"/>
    <w:rsid w:val="000527B5"/>
    <w:rsid w:val="00057491"/>
    <w:rsid w:val="0008557A"/>
    <w:rsid w:val="000A0AD6"/>
    <w:rsid w:val="000A1F5E"/>
    <w:rsid w:val="000A4D7A"/>
    <w:rsid w:val="000A586B"/>
    <w:rsid w:val="000B3732"/>
    <w:rsid w:val="000E3C8D"/>
    <w:rsid w:val="000F0A27"/>
    <w:rsid w:val="000F521A"/>
    <w:rsid w:val="00111B16"/>
    <w:rsid w:val="0011524E"/>
    <w:rsid w:val="00122DAE"/>
    <w:rsid w:val="001401E0"/>
    <w:rsid w:val="00140D8D"/>
    <w:rsid w:val="00151BFD"/>
    <w:rsid w:val="0015390F"/>
    <w:rsid w:val="00172A27"/>
    <w:rsid w:val="00173815"/>
    <w:rsid w:val="001836EC"/>
    <w:rsid w:val="001935C4"/>
    <w:rsid w:val="001942FE"/>
    <w:rsid w:val="00194C91"/>
    <w:rsid w:val="0019547F"/>
    <w:rsid w:val="001A7D66"/>
    <w:rsid w:val="001B2DE6"/>
    <w:rsid w:val="001C2543"/>
    <w:rsid w:val="001D31DF"/>
    <w:rsid w:val="001D67D4"/>
    <w:rsid w:val="001D700F"/>
    <w:rsid w:val="001E22D8"/>
    <w:rsid w:val="001E5097"/>
    <w:rsid w:val="00207397"/>
    <w:rsid w:val="00207E99"/>
    <w:rsid w:val="00220C74"/>
    <w:rsid w:val="0023289F"/>
    <w:rsid w:val="00241B6F"/>
    <w:rsid w:val="00246D9B"/>
    <w:rsid w:val="00252CB1"/>
    <w:rsid w:val="00263F61"/>
    <w:rsid w:val="002654A1"/>
    <w:rsid w:val="00271D34"/>
    <w:rsid w:val="00272C93"/>
    <w:rsid w:val="00287799"/>
    <w:rsid w:val="00290A4B"/>
    <w:rsid w:val="002A4C8E"/>
    <w:rsid w:val="002B54DC"/>
    <w:rsid w:val="002B6581"/>
    <w:rsid w:val="002C291C"/>
    <w:rsid w:val="002D1F81"/>
    <w:rsid w:val="002D648A"/>
    <w:rsid w:val="002D7C88"/>
    <w:rsid w:val="002E16B3"/>
    <w:rsid w:val="002F0890"/>
    <w:rsid w:val="002F555E"/>
    <w:rsid w:val="002F59F0"/>
    <w:rsid w:val="00305BAF"/>
    <w:rsid w:val="00317397"/>
    <w:rsid w:val="0033292D"/>
    <w:rsid w:val="00340506"/>
    <w:rsid w:val="00351D2B"/>
    <w:rsid w:val="00362C68"/>
    <w:rsid w:val="003736D1"/>
    <w:rsid w:val="00373FC8"/>
    <w:rsid w:val="00384B72"/>
    <w:rsid w:val="00384BA3"/>
    <w:rsid w:val="00394B54"/>
    <w:rsid w:val="0039533E"/>
    <w:rsid w:val="003C4B03"/>
    <w:rsid w:val="004038DC"/>
    <w:rsid w:val="0041093D"/>
    <w:rsid w:val="0041111F"/>
    <w:rsid w:val="00423095"/>
    <w:rsid w:val="00425426"/>
    <w:rsid w:val="00460BA3"/>
    <w:rsid w:val="0048430E"/>
    <w:rsid w:val="004848BC"/>
    <w:rsid w:val="0048696B"/>
    <w:rsid w:val="0049373B"/>
    <w:rsid w:val="004A0FF8"/>
    <w:rsid w:val="004A31A6"/>
    <w:rsid w:val="004B3C3D"/>
    <w:rsid w:val="004B4E8B"/>
    <w:rsid w:val="004C05D3"/>
    <w:rsid w:val="004C6456"/>
    <w:rsid w:val="004E0F7E"/>
    <w:rsid w:val="004E4288"/>
    <w:rsid w:val="004E6492"/>
    <w:rsid w:val="004F5F15"/>
    <w:rsid w:val="0050030D"/>
    <w:rsid w:val="00506213"/>
    <w:rsid w:val="00511E48"/>
    <w:rsid w:val="00513321"/>
    <w:rsid w:val="00513523"/>
    <w:rsid w:val="005227D7"/>
    <w:rsid w:val="005234AF"/>
    <w:rsid w:val="005239CA"/>
    <w:rsid w:val="00524C75"/>
    <w:rsid w:val="00525306"/>
    <w:rsid w:val="00530DA5"/>
    <w:rsid w:val="005329D6"/>
    <w:rsid w:val="0055347A"/>
    <w:rsid w:val="005604AD"/>
    <w:rsid w:val="0057614C"/>
    <w:rsid w:val="00580C40"/>
    <w:rsid w:val="00582D99"/>
    <w:rsid w:val="00585BF6"/>
    <w:rsid w:val="0059108D"/>
    <w:rsid w:val="005A22A8"/>
    <w:rsid w:val="005D1D9D"/>
    <w:rsid w:val="005F18F9"/>
    <w:rsid w:val="005F4627"/>
    <w:rsid w:val="00601ECB"/>
    <w:rsid w:val="006024C0"/>
    <w:rsid w:val="0060291C"/>
    <w:rsid w:val="0060438A"/>
    <w:rsid w:val="00615C90"/>
    <w:rsid w:val="006302F2"/>
    <w:rsid w:val="006308C4"/>
    <w:rsid w:val="006418E3"/>
    <w:rsid w:val="00662826"/>
    <w:rsid w:val="00664CBA"/>
    <w:rsid w:val="0068075F"/>
    <w:rsid w:val="00682E9A"/>
    <w:rsid w:val="00686E1B"/>
    <w:rsid w:val="0069595D"/>
    <w:rsid w:val="006A3DAE"/>
    <w:rsid w:val="006C60CD"/>
    <w:rsid w:val="006D2D0C"/>
    <w:rsid w:val="006D4BF3"/>
    <w:rsid w:val="006D7BF6"/>
    <w:rsid w:val="006E1541"/>
    <w:rsid w:val="006E6FE2"/>
    <w:rsid w:val="006F3535"/>
    <w:rsid w:val="00702DAF"/>
    <w:rsid w:val="007140A6"/>
    <w:rsid w:val="00721B9E"/>
    <w:rsid w:val="0075484B"/>
    <w:rsid w:val="00767CD4"/>
    <w:rsid w:val="00771ACD"/>
    <w:rsid w:val="00772AC9"/>
    <w:rsid w:val="00786B14"/>
    <w:rsid w:val="0079216B"/>
    <w:rsid w:val="0079349E"/>
    <w:rsid w:val="007C1278"/>
    <w:rsid w:val="007C1516"/>
    <w:rsid w:val="007C693C"/>
    <w:rsid w:val="007C7ADB"/>
    <w:rsid w:val="007D44F5"/>
    <w:rsid w:val="007E711A"/>
    <w:rsid w:val="007F1FF3"/>
    <w:rsid w:val="007F6294"/>
    <w:rsid w:val="00815D67"/>
    <w:rsid w:val="00846ED7"/>
    <w:rsid w:val="00851510"/>
    <w:rsid w:val="008815C4"/>
    <w:rsid w:val="00890BBB"/>
    <w:rsid w:val="00894B02"/>
    <w:rsid w:val="008A3F9E"/>
    <w:rsid w:val="008B0B0A"/>
    <w:rsid w:val="008C5F27"/>
    <w:rsid w:val="008C69F0"/>
    <w:rsid w:val="008D24B0"/>
    <w:rsid w:val="008D7D7E"/>
    <w:rsid w:val="008E2D3E"/>
    <w:rsid w:val="008F2C68"/>
    <w:rsid w:val="00922FF1"/>
    <w:rsid w:val="0092604E"/>
    <w:rsid w:val="009565C4"/>
    <w:rsid w:val="00997CA0"/>
    <w:rsid w:val="009A62F5"/>
    <w:rsid w:val="009D0E0A"/>
    <w:rsid w:val="009F0954"/>
    <w:rsid w:val="009F7979"/>
    <w:rsid w:val="00A07421"/>
    <w:rsid w:val="00A23F91"/>
    <w:rsid w:val="00A24600"/>
    <w:rsid w:val="00A27A75"/>
    <w:rsid w:val="00A31513"/>
    <w:rsid w:val="00A326D6"/>
    <w:rsid w:val="00A40947"/>
    <w:rsid w:val="00A432B0"/>
    <w:rsid w:val="00A43E53"/>
    <w:rsid w:val="00A52A77"/>
    <w:rsid w:val="00A7797D"/>
    <w:rsid w:val="00A92010"/>
    <w:rsid w:val="00A95D4E"/>
    <w:rsid w:val="00AA256E"/>
    <w:rsid w:val="00AA5ADE"/>
    <w:rsid w:val="00AA701A"/>
    <w:rsid w:val="00AA7F09"/>
    <w:rsid w:val="00AC0D6D"/>
    <w:rsid w:val="00AC0ECE"/>
    <w:rsid w:val="00AD7583"/>
    <w:rsid w:val="00AF1A27"/>
    <w:rsid w:val="00B01441"/>
    <w:rsid w:val="00B13EEA"/>
    <w:rsid w:val="00B15269"/>
    <w:rsid w:val="00B223BB"/>
    <w:rsid w:val="00B351BA"/>
    <w:rsid w:val="00B45468"/>
    <w:rsid w:val="00B50865"/>
    <w:rsid w:val="00B51701"/>
    <w:rsid w:val="00B51E93"/>
    <w:rsid w:val="00B56194"/>
    <w:rsid w:val="00B6716B"/>
    <w:rsid w:val="00B83553"/>
    <w:rsid w:val="00B94972"/>
    <w:rsid w:val="00B97342"/>
    <w:rsid w:val="00BA1DDF"/>
    <w:rsid w:val="00BB0D84"/>
    <w:rsid w:val="00BC0432"/>
    <w:rsid w:val="00BC370F"/>
    <w:rsid w:val="00BC683E"/>
    <w:rsid w:val="00BE34BA"/>
    <w:rsid w:val="00BE3A6E"/>
    <w:rsid w:val="00BE47E0"/>
    <w:rsid w:val="00BF042E"/>
    <w:rsid w:val="00BF276E"/>
    <w:rsid w:val="00BF46EA"/>
    <w:rsid w:val="00C0540C"/>
    <w:rsid w:val="00C05411"/>
    <w:rsid w:val="00C05E54"/>
    <w:rsid w:val="00C167E3"/>
    <w:rsid w:val="00C316A6"/>
    <w:rsid w:val="00C5366F"/>
    <w:rsid w:val="00C55C60"/>
    <w:rsid w:val="00C656C0"/>
    <w:rsid w:val="00C7587A"/>
    <w:rsid w:val="00C85555"/>
    <w:rsid w:val="00C96F0A"/>
    <w:rsid w:val="00CA0995"/>
    <w:rsid w:val="00CB6550"/>
    <w:rsid w:val="00CC31C3"/>
    <w:rsid w:val="00CC77D6"/>
    <w:rsid w:val="00CD4C24"/>
    <w:rsid w:val="00CF164B"/>
    <w:rsid w:val="00D01456"/>
    <w:rsid w:val="00D070AD"/>
    <w:rsid w:val="00D14C92"/>
    <w:rsid w:val="00D42657"/>
    <w:rsid w:val="00D62A65"/>
    <w:rsid w:val="00D65DF4"/>
    <w:rsid w:val="00D661E0"/>
    <w:rsid w:val="00D73C88"/>
    <w:rsid w:val="00D74990"/>
    <w:rsid w:val="00D97939"/>
    <w:rsid w:val="00DB207B"/>
    <w:rsid w:val="00DB2829"/>
    <w:rsid w:val="00DB4A23"/>
    <w:rsid w:val="00DB7448"/>
    <w:rsid w:val="00DC71AA"/>
    <w:rsid w:val="00DC79FA"/>
    <w:rsid w:val="00DD1C7C"/>
    <w:rsid w:val="00DD443A"/>
    <w:rsid w:val="00DD4BF2"/>
    <w:rsid w:val="00DD5FDD"/>
    <w:rsid w:val="00DE0CF2"/>
    <w:rsid w:val="00DE469C"/>
    <w:rsid w:val="00DF53F1"/>
    <w:rsid w:val="00DF6D8D"/>
    <w:rsid w:val="00DF7C00"/>
    <w:rsid w:val="00E106CD"/>
    <w:rsid w:val="00E21940"/>
    <w:rsid w:val="00E2748F"/>
    <w:rsid w:val="00E43F7C"/>
    <w:rsid w:val="00E44F29"/>
    <w:rsid w:val="00E5195C"/>
    <w:rsid w:val="00E6017B"/>
    <w:rsid w:val="00E61770"/>
    <w:rsid w:val="00E752A2"/>
    <w:rsid w:val="00E75B0D"/>
    <w:rsid w:val="00E837EA"/>
    <w:rsid w:val="00E84E99"/>
    <w:rsid w:val="00EC207E"/>
    <w:rsid w:val="00EC6FB5"/>
    <w:rsid w:val="00ED0C37"/>
    <w:rsid w:val="00ED6B99"/>
    <w:rsid w:val="00EF0EFE"/>
    <w:rsid w:val="00EF1C33"/>
    <w:rsid w:val="00F01B35"/>
    <w:rsid w:val="00F079EA"/>
    <w:rsid w:val="00F1118B"/>
    <w:rsid w:val="00F15839"/>
    <w:rsid w:val="00F4060F"/>
    <w:rsid w:val="00F4530C"/>
    <w:rsid w:val="00F65578"/>
    <w:rsid w:val="00F67084"/>
    <w:rsid w:val="00F72ADD"/>
    <w:rsid w:val="00F8369F"/>
    <w:rsid w:val="00F87878"/>
    <w:rsid w:val="00F91B85"/>
    <w:rsid w:val="00FB0BEC"/>
    <w:rsid w:val="00FB781B"/>
    <w:rsid w:val="00FC3664"/>
    <w:rsid w:val="2E251BE9"/>
    <w:rsid w:val="6DD01F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5" w:lineRule="auto"/>
      <w:outlineLvl w:val="2"/>
    </w:pPr>
    <w:rPr>
      <w:b/>
      <w:bCs/>
      <w:sz w:val="32"/>
      <w:szCs w:val="32"/>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semiHidden/>
    <w:uiPriority w:val="0"/>
    <w:rPr>
      <w:sz w:val="18"/>
      <w:szCs w:val="18"/>
    </w:rPr>
  </w:style>
  <w:style w:type="paragraph" w:styleId="4">
    <w:name w:val="footer"/>
    <w:basedOn w:val="1"/>
    <w:link w:val="10"/>
    <w:uiPriority w:val="99"/>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link w:val="5"/>
    <w:uiPriority w:val="0"/>
    <w:rPr>
      <w:kern w:val="2"/>
      <w:sz w:val="18"/>
      <w:szCs w:val="18"/>
    </w:rPr>
  </w:style>
  <w:style w:type="character" w:customStyle="1" w:styleId="10">
    <w:name w:val="页脚 Char"/>
    <w:link w:val="4"/>
    <w:uiPriority w:val="99"/>
    <w:rPr>
      <w:kern w:val="2"/>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163</Words>
  <Characters>931</Characters>
  <Lines>7</Lines>
  <Paragraphs>2</Paragraphs>
  <TotalTime>2</TotalTime>
  <ScaleCrop>false</ScaleCrop>
  <LinksUpToDate>false</LinksUpToDate>
  <CharactersWithSpaces>1092</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2019-10-10T08:18:00Z</dcterms:created>
  <dc:creator>USER</dc:creator>
  <cp:lastModifiedBy>小宇溪</cp:lastModifiedBy>
  <cp:lastPrinted>2019-10-10T08:31:00Z</cp:lastPrinted>
  <dcterms:modified xsi:type="dcterms:W3CDTF">2019-10-11T11:22:06Z</dcterms:modified>
  <dc:title>2011级医学院（系）主修专业确认工作细则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