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1C" w:rsidRDefault="00D2761C" w:rsidP="00DB106F">
      <w:pPr>
        <w:widowControl/>
        <w:spacing w:afterLines="50" w:after="156" w:line="360" w:lineRule="auto"/>
        <w:rPr>
          <w:rFonts w:ascii="仿宋" w:eastAsia="仿宋" w:hAnsi="仿宋" w:cs="宋体"/>
          <w:b/>
          <w:color w:val="040404"/>
          <w:kern w:val="0"/>
          <w:sz w:val="44"/>
          <w:szCs w:val="44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附件2    </w:t>
      </w:r>
      <w:r w:rsidRPr="0055557B">
        <w:rPr>
          <w:rFonts w:ascii="仿宋" w:eastAsia="仿宋" w:hAnsi="仿宋" w:cs="宋体" w:hint="eastAsia"/>
          <w:b/>
          <w:color w:val="040404"/>
          <w:kern w:val="0"/>
          <w:sz w:val="44"/>
          <w:szCs w:val="44"/>
        </w:rPr>
        <w:t>浙江大学通识选修课程建设要求</w:t>
      </w:r>
    </w:p>
    <w:p w:rsidR="00DB106F" w:rsidRPr="00DB106F" w:rsidRDefault="00DB106F" w:rsidP="00DB106F">
      <w:pPr>
        <w:widowControl/>
        <w:spacing w:afterLines="50" w:after="156" w:line="360" w:lineRule="auto"/>
        <w:jc w:val="center"/>
        <w:rPr>
          <w:rFonts w:ascii="仿宋" w:eastAsia="仿宋" w:hAnsi="仿宋" w:cs="宋体"/>
          <w:color w:val="040404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40404"/>
          <w:kern w:val="0"/>
          <w:sz w:val="44"/>
          <w:szCs w:val="44"/>
        </w:rPr>
        <w:t>（2020年更新）</w:t>
      </w:r>
    </w:p>
    <w:tbl>
      <w:tblPr>
        <w:tblStyle w:val="a6"/>
        <w:tblW w:w="8824" w:type="dxa"/>
        <w:tblInd w:w="-176" w:type="dxa"/>
        <w:tblLook w:val="04A0" w:firstRow="1" w:lastRow="0" w:firstColumn="1" w:lastColumn="0" w:noHBand="0" w:noVBand="1"/>
      </w:tblPr>
      <w:tblGrid>
        <w:gridCol w:w="993"/>
        <w:gridCol w:w="1559"/>
        <w:gridCol w:w="6272"/>
      </w:tblGrid>
      <w:tr w:rsidR="00D2761C" w:rsidTr="008F58C3">
        <w:trPr>
          <w:trHeight w:val="472"/>
        </w:trPr>
        <w:tc>
          <w:tcPr>
            <w:tcW w:w="993" w:type="dxa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二级指标</w:t>
            </w:r>
          </w:p>
        </w:tc>
        <w:tc>
          <w:tcPr>
            <w:tcW w:w="6272" w:type="dxa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</w:t>
            </w:r>
          </w:p>
        </w:tc>
      </w:tr>
      <w:tr w:rsidR="00D2761C" w:rsidTr="008F58C3">
        <w:trPr>
          <w:trHeight w:val="691"/>
        </w:trPr>
        <w:tc>
          <w:tcPr>
            <w:tcW w:w="993" w:type="dxa"/>
            <w:vMerge w:val="restart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</w:p>
        </w:tc>
        <w:tc>
          <w:tcPr>
            <w:tcW w:w="6272" w:type="dxa"/>
            <w:vAlign w:val="center"/>
          </w:tcPr>
          <w:p w:rsidR="00D2761C" w:rsidRPr="0018382E" w:rsidRDefault="00D2761C" w:rsidP="00F204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符合学校通识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教育总目标和各类别通识选修课程教学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</w:p>
        </w:tc>
      </w:tr>
      <w:tr w:rsidR="00D2761C" w:rsidTr="008F58C3">
        <w:trPr>
          <w:trHeight w:val="1441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6272" w:type="dxa"/>
            <w:vAlign w:val="center"/>
          </w:tcPr>
          <w:p w:rsidR="00D2761C" w:rsidRPr="00E16DE3" w:rsidRDefault="005C737A" w:rsidP="005567FF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原则上按</w:t>
            </w:r>
            <w:r w:rsidRPr="005C737A">
              <w:rPr>
                <w:rFonts w:ascii="仿宋" w:eastAsia="仿宋" w:hAnsi="仿宋" w:hint="eastAsia"/>
                <w:sz w:val="28"/>
                <w:szCs w:val="28"/>
              </w:rPr>
              <w:t>长学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期设计课程，教学</w:t>
            </w:r>
            <w:r w:rsidR="00D2761C" w:rsidRPr="00B15EAC">
              <w:rPr>
                <w:rFonts w:ascii="仿宋" w:eastAsia="仿宋" w:hAnsi="仿宋" w:hint="eastAsia"/>
                <w:sz w:val="28"/>
                <w:szCs w:val="28"/>
              </w:rPr>
              <w:t>大纲完善，课程内容围绕课程教学目标展开，课程内容设计能保证教学目标实现</w:t>
            </w:r>
            <w:bookmarkStart w:id="0" w:name="_GoBack"/>
            <w:bookmarkEnd w:id="0"/>
          </w:p>
        </w:tc>
      </w:tr>
      <w:tr w:rsidR="00D2761C" w:rsidTr="008F58C3"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课程教学</w:t>
            </w:r>
          </w:p>
        </w:tc>
        <w:tc>
          <w:tcPr>
            <w:tcW w:w="6272" w:type="dxa"/>
            <w:vAlign w:val="center"/>
          </w:tcPr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通识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课程教学应注重启发和引导，鼓励增设讨论环节，加强师生互动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生生互动，有效激发学生学习兴趣，提升课堂学习效果</w:t>
            </w:r>
          </w:p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通识核心课程要求采用大班理论授课和分小班课堂研讨的模式进行</w:t>
            </w:r>
          </w:p>
        </w:tc>
      </w:tr>
      <w:tr w:rsidR="00D2761C" w:rsidTr="00DB0DA8">
        <w:trPr>
          <w:trHeight w:val="3884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考核</w:t>
            </w:r>
          </w:p>
        </w:tc>
        <w:tc>
          <w:tcPr>
            <w:tcW w:w="6272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原则上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应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安排统一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期末笔试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，考试形式（开卷、闭卷或半开卷）由教师自行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确定</w:t>
            </w:r>
          </w:p>
          <w:p w:rsidR="00D2761C" w:rsidRPr="0018382E" w:rsidRDefault="00D2761C" w:rsidP="00B27CA0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加强过程性考核，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体现课外阅读、平时作业、讨论发言等平时表现的考核。</w:t>
            </w:r>
            <w:r w:rsidRPr="002C2F7E">
              <w:rPr>
                <w:rFonts w:ascii="仿宋" w:eastAsia="仿宋" w:hAnsi="仿宋" w:hint="eastAsia"/>
                <w:sz w:val="28"/>
                <w:szCs w:val="28"/>
              </w:rPr>
              <w:t>过程性考核所占比例不低于课程总成绩构成比例的40%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，其中通识核心课程要求不低于</w:t>
            </w:r>
            <w:r w:rsidR="00B27CA0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0%</w:t>
            </w:r>
          </w:p>
        </w:tc>
      </w:tr>
      <w:tr w:rsidR="00D2761C" w:rsidTr="00DB0DA8">
        <w:trPr>
          <w:trHeight w:val="1828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课外学习</w:t>
            </w:r>
          </w:p>
        </w:tc>
        <w:tc>
          <w:tcPr>
            <w:tcW w:w="6272" w:type="dxa"/>
            <w:vAlign w:val="center"/>
          </w:tcPr>
          <w:p w:rsidR="000830B3" w:rsidRPr="00DB0DA8" w:rsidRDefault="00D2761C" w:rsidP="00345E16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加大平时作业量、课外阅读量，要求</w:t>
            </w:r>
            <w:r w:rsidR="0050734B" w:rsidRPr="0050734B">
              <w:rPr>
                <w:rFonts w:ascii="仿宋" w:eastAsia="仿宋" w:hAnsi="仿宋" w:hint="eastAsia"/>
                <w:sz w:val="28"/>
                <w:szCs w:val="28"/>
              </w:rPr>
              <w:t>课外学习时间不少于课内学时数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4534F9">
              <w:rPr>
                <w:rFonts w:ascii="仿宋" w:eastAsia="仿宋" w:hAnsi="仿宋" w:hint="eastAsia"/>
                <w:sz w:val="28"/>
                <w:szCs w:val="28"/>
              </w:rPr>
              <w:t>其中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通识核心课程</w:t>
            </w:r>
            <w:r w:rsidR="0050734B" w:rsidRPr="0050734B">
              <w:rPr>
                <w:rFonts w:ascii="仿宋" w:eastAsia="仿宋" w:hAnsi="仿宋" w:hint="eastAsia"/>
                <w:sz w:val="28"/>
                <w:szCs w:val="28"/>
              </w:rPr>
              <w:t>要求不少于课内学时数的</w:t>
            </w:r>
            <w:r w:rsidR="00345E1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50734B" w:rsidRPr="0050734B">
              <w:rPr>
                <w:rFonts w:ascii="仿宋" w:eastAsia="仿宋" w:hAnsi="仿宋" w:hint="eastAsia"/>
                <w:sz w:val="28"/>
                <w:szCs w:val="28"/>
              </w:rPr>
              <w:t>倍</w:t>
            </w:r>
          </w:p>
        </w:tc>
      </w:tr>
      <w:tr w:rsidR="00D2761C" w:rsidTr="008F58C3">
        <w:tc>
          <w:tcPr>
            <w:tcW w:w="993" w:type="dxa"/>
            <w:vMerge w:val="restart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教师</w:t>
            </w: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师德师风</w:t>
            </w:r>
          </w:p>
        </w:tc>
        <w:tc>
          <w:tcPr>
            <w:tcW w:w="6272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040D81">
              <w:rPr>
                <w:rFonts w:ascii="仿宋" w:eastAsia="仿宋" w:hAnsi="仿宋"/>
                <w:color w:val="FF0000"/>
                <w:sz w:val="28"/>
                <w:szCs w:val="28"/>
              </w:rPr>
              <w:t>.</w:t>
            </w:r>
            <w:r w:rsidRPr="00040D81">
              <w:rPr>
                <w:rFonts w:ascii="仿宋" w:eastAsia="仿宋" w:hAnsi="仿宋" w:hint="eastAsia"/>
                <w:sz w:val="28"/>
                <w:szCs w:val="28"/>
              </w:rPr>
              <w:t>恪守职业道德，弘扬正气，坚持社会主义核心价值观</w:t>
            </w:r>
          </w:p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2.近三年无教学事故</w:t>
            </w:r>
          </w:p>
        </w:tc>
      </w:tr>
      <w:tr w:rsidR="00D2761C" w:rsidTr="008F58C3">
        <w:trPr>
          <w:trHeight w:val="810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C00F75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00F75">
              <w:rPr>
                <w:rFonts w:ascii="仿宋" w:eastAsia="仿宋" w:hAnsi="仿宋" w:hint="eastAsia"/>
                <w:sz w:val="28"/>
                <w:szCs w:val="28"/>
              </w:rPr>
              <w:t>教师职称</w:t>
            </w:r>
          </w:p>
        </w:tc>
        <w:tc>
          <w:tcPr>
            <w:tcW w:w="6272" w:type="dxa"/>
            <w:vAlign w:val="center"/>
          </w:tcPr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00F75">
              <w:rPr>
                <w:rFonts w:ascii="仿宋" w:eastAsia="仿宋" w:hAnsi="仿宋" w:hint="eastAsia"/>
                <w:sz w:val="28"/>
                <w:szCs w:val="28"/>
              </w:rPr>
              <w:t>原则上应具有副教授及以上职称</w:t>
            </w:r>
          </w:p>
        </w:tc>
      </w:tr>
      <w:tr w:rsidR="00D2761C" w:rsidTr="008F58C3">
        <w:trPr>
          <w:trHeight w:val="1820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C00F75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00F75">
              <w:rPr>
                <w:rFonts w:ascii="仿宋" w:eastAsia="仿宋" w:hAnsi="仿宋" w:hint="eastAsia"/>
                <w:sz w:val="28"/>
                <w:szCs w:val="28"/>
              </w:rPr>
              <w:t>教学水平</w:t>
            </w:r>
          </w:p>
        </w:tc>
        <w:tc>
          <w:tcPr>
            <w:tcW w:w="6272" w:type="dxa"/>
            <w:vAlign w:val="center"/>
          </w:tcPr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对通识教育有深入研究</w:t>
            </w:r>
          </w:p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0A0BDF">
              <w:rPr>
                <w:rFonts w:ascii="仿宋" w:eastAsia="仿宋" w:hAnsi="仿宋" w:hint="eastAsia"/>
                <w:sz w:val="28"/>
                <w:szCs w:val="28"/>
              </w:rPr>
              <w:t>教学经验丰富，教学能力强，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近三年本科相近课程教学评价总体优良</w:t>
            </w:r>
          </w:p>
          <w:p w:rsidR="00E569E7" w:rsidRPr="00C00F75" w:rsidRDefault="00E569E7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通识核心课程主讲教师有五年以上教学经历且教学能力强、教学效果好</w:t>
            </w:r>
          </w:p>
        </w:tc>
      </w:tr>
      <w:tr w:rsidR="00D2761C" w:rsidTr="008F58C3">
        <w:trPr>
          <w:trHeight w:val="1130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6376F1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6376F1">
              <w:rPr>
                <w:rFonts w:ascii="仿宋" w:eastAsia="仿宋" w:hAnsi="仿宋" w:hint="eastAsia"/>
                <w:sz w:val="28"/>
                <w:szCs w:val="28"/>
              </w:rPr>
              <w:t>教学团队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7D69BB">
              <w:rPr>
                <w:rFonts w:ascii="仿宋" w:eastAsia="仿宋" w:hAnsi="仿宋" w:hint="eastAsia"/>
                <w:sz w:val="28"/>
                <w:szCs w:val="28"/>
              </w:rPr>
              <w:t>鼓励打造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教学团队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，具有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合理的年龄结构、知识结构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确保课程稳定、持续开课</w:t>
            </w:r>
          </w:p>
        </w:tc>
      </w:tr>
      <w:tr w:rsidR="00D2761C" w:rsidTr="008F58C3">
        <w:trPr>
          <w:trHeight w:val="70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0D71AB" w:rsidRDefault="00D2761C" w:rsidP="008F58C3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6376F1">
              <w:rPr>
                <w:rFonts w:ascii="仿宋" w:eastAsia="仿宋" w:hAnsi="仿宋" w:hint="eastAsia"/>
                <w:sz w:val="28"/>
                <w:szCs w:val="28"/>
              </w:rPr>
              <w:t>开课频次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0D71AB" w:rsidRDefault="00D2761C" w:rsidP="008F58C3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BD5A0E">
              <w:rPr>
                <w:rFonts w:ascii="仿宋" w:eastAsia="仿宋" w:hAnsi="仿宋" w:hint="eastAsia"/>
                <w:sz w:val="28"/>
                <w:szCs w:val="28"/>
              </w:rPr>
              <w:t>原则上要求每位主讲教师每学期开设1次</w:t>
            </w:r>
          </w:p>
        </w:tc>
      </w:tr>
      <w:tr w:rsidR="00D2761C" w:rsidTr="008F58C3">
        <w:trPr>
          <w:trHeight w:val="55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教材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教材及相关资源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1.选用国家指定教材或优秀教材（含国家优秀教材、国外高水平原版教材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Pr="00CB263D">
              <w:rPr>
                <w:rFonts w:ascii="仿宋" w:eastAsia="仿宋" w:hAnsi="仿宋" w:hint="eastAsia"/>
                <w:sz w:val="28"/>
                <w:szCs w:val="28"/>
              </w:rPr>
              <w:t>高水平自编教材）。前沿性课程可以采用自编教材或提供有效的文献资料</w:t>
            </w:r>
          </w:p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2.准备丰富的教学参考资料，如原著经典等参考书、课件、案例、习题等</w:t>
            </w:r>
          </w:p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3.积极运用学校课程平台，及时更新课程相关资料，满足学生学习、咨询与交流的需要</w:t>
            </w:r>
          </w:p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CB263D">
              <w:rPr>
                <w:rFonts w:ascii="仿宋" w:eastAsia="仿宋" w:hAnsi="仿宋" w:hint="eastAsia"/>
                <w:sz w:val="28"/>
                <w:szCs w:val="28"/>
              </w:rPr>
              <w:t>合理使用网络在线课程资源</w:t>
            </w:r>
          </w:p>
        </w:tc>
      </w:tr>
    </w:tbl>
    <w:p w:rsidR="00D2761C" w:rsidRPr="0055557B" w:rsidRDefault="00D2761C" w:rsidP="00D2761C">
      <w:pPr>
        <w:jc w:val="left"/>
        <w:rPr>
          <w:rFonts w:ascii="华文仿宋" w:eastAsia="华文仿宋" w:hAnsi="华文仿宋"/>
          <w:sz w:val="32"/>
          <w:szCs w:val="32"/>
        </w:rPr>
      </w:pPr>
    </w:p>
    <w:p w:rsidR="009C37FD" w:rsidRPr="00D2761C" w:rsidRDefault="009C37FD"/>
    <w:sectPr w:rsidR="009C37FD" w:rsidRPr="00D2761C" w:rsidSect="0097517A">
      <w:headerReference w:type="default" r:id="rId6"/>
      <w:pgSz w:w="11906" w:h="16838"/>
      <w:pgMar w:top="1247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48" w:rsidRDefault="00E62C48" w:rsidP="004D7D79">
      <w:r>
        <w:separator/>
      </w:r>
    </w:p>
  </w:endnote>
  <w:endnote w:type="continuationSeparator" w:id="0">
    <w:p w:rsidR="00E62C48" w:rsidRDefault="00E62C48" w:rsidP="004D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48" w:rsidRDefault="00E62C48" w:rsidP="004D7D79">
      <w:r>
        <w:separator/>
      </w:r>
    </w:p>
  </w:footnote>
  <w:footnote w:type="continuationSeparator" w:id="0">
    <w:p w:rsidR="00E62C48" w:rsidRDefault="00E62C48" w:rsidP="004D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D0" w:rsidRDefault="00E62C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1C"/>
    <w:rsid w:val="000830B3"/>
    <w:rsid w:val="00102D27"/>
    <w:rsid w:val="00253FD8"/>
    <w:rsid w:val="002941FD"/>
    <w:rsid w:val="002E74F0"/>
    <w:rsid w:val="003128DA"/>
    <w:rsid w:val="00345E16"/>
    <w:rsid w:val="004534F9"/>
    <w:rsid w:val="00454C1C"/>
    <w:rsid w:val="00471471"/>
    <w:rsid w:val="0049365A"/>
    <w:rsid w:val="004D7D79"/>
    <w:rsid w:val="0050734B"/>
    <w:rsid w:val="005567FF"/>
    <w:rsid w:val="00575591"/>
    <w:rsid w:val="005C737A"/>
    <w:rsid w:val="006C04AB"/>
    <w:rsid w:val="008D76C9"/>
    <w:rsid w:val="009C37FD"/>
    <w:rsid w:val="00A37086"/>
    <w:rsid w:val="00AA3343"/>
    <w:rsid w:val="00AB77B0"/>
    <w:rsid w:val="00B27CA0"/>
    <w:rsid w:val="00B52E64"/>
    <w:rsid w:val="00D1415B"/>
    <w:rsid w:val="00D2761C"/>
    <w:rsid w:val="00D64CB0"/>
    <w:rsid w:val="00DB0DA8"/>
    <w:rsid w:val="00DB106F"/>
    <w:rsid w:val="00E569E7"/>
    <w:rsid w:val="00E62C48"/>
    <w:rsid w:val="00EC6DCC"/>
    <w:rsid w:val="00F2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F0B78"/>
  <w15:docId w15:val="{24A07862-F280-405B-B4ED-45673823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61C"/>
    <w:rPr>
      <w:sz w:val="18"/>
      <w:szCs w:val="18"/>
    </w:rPr>
  </w:style>
  <w:style w:type="paragraph" w:styleId="a5">
    <w:name w:val="List Paragraph"/>
    <w:basedOn w:val="a"/>
    <w:uiPriority w:val="34"/>
    <w:qFormat/>
    <w:rsid w:val="00D2761C"/>
    <w:pPr>
      <w:ind w:firstLineChars="200" w:firstLine="420"/>
    </w:pPr>
  </w:style>
  <w:style w:type="table" w:styleId="a6">
    <w:name w:val="Table Grid"/>
    <w:basedOn w:val="a1"/>
    <w:uiPriority w:val="59"/>
    <w:rsid w:val="00D2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8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30B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0734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07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WYF</cp:lastModifiedBy>
  <cp:revision>5</cp:revision>
  <cp:lastPrinted>2019-02-27T06:23:00Z</cp:lastPrinted>
  <dcterms:created xsi:type="dcterms:W3CDTF">2020-03-03T07:25:00Z</dcterms:created>
  <dcterms:modified xsi:type="dcterms:W3CDTF">2020-03-03T08:40:00Z</dcterms:modified>
</cp:coreProperties>
</file>