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E00" w:rsidRPr="00004E00" w:rsidRDefault="00004E00" w:rsidP="00004E00">
      <w:pPr>
        <w:pStyle w:val="a5"/>
        <w:spacing w:before="0" w:beforeAutospacing="0" w:after="0" w:afterAutospacing="0"/>
        <w:jc w:val="center"/>
        <w:rPr>
          <w:rFonts w:ascii="仿宋_GB2312" w:eastAsia="仿宋_GB2312" w:hint="eastAsia"/>
          <w:b/>
          <w:color w:val="040404"/>
          <w:spacing w:val="-6"/>
          <w:sz w:val="44"/>
          <w:szCs w:val="44"/>
          <w:bdr w:val="none" w:sz="0" w:space="0" w:color="auto" w:frame="1"/>
          <w:shd w:val="clear" w:color="auto" w:fill="FFFFFF"/>
        </w:rPr>
      </w:pPr>
      <w:r w:rsidRPr="00004E00">
        <w:rPr>
          <w:rFonts w:ascii="仿宋_GB2312" w:eastAsia="仿宋_GB2312" w:hint="eastAsia"/>
          <w:b/>
          <w:color w:val="040404"/>
          <w:spacing w:val="-6"/>
          <w:sz w:val="44"/>
          <w:szCs w:val="44"/>
          <w:bdr w:val="none" w:sz="0" w:space="0" w:color="auto" w:frame="1"/>
          <w:shd w:val="clear" w:color="auto" w:fill="FFFFFF"/>
        </w:rPr>
        <w:t>浙江大学本科教学督导管理办法</w:t>
      </w:r>
    </w:p>
    <w:p w:rsidR="00004E00" w:rsidRDefault="00004E00" w:rsidP="00004E00">
      <w:pPr>
        <w:pStyle w:val="a5"/>
        <w:spacing w:before="0" w:beforeAutospacing="0" w:after="0" w:afterAutospacing="0"/>
        <w:jc w:val="center"/>
      </w:pPr>
      <w:r>
        <w:rPr>
          <w:rFonts w:ascii="仿宋_GB2312" w:eastAsia="仿宋_GB2312" w:hint="eastAsia"/>
          <w:sz w:val="32"/>
          <w:szCs w:val="32"/>
          <w:bdr w:val="none" w:sz="0" w:space="0" w:color="auto" w:frame="1"/>
        </w:rPr>
        <w:t> </w:t>
      </w:r>
      <w:r>
        <w:rPr>
          <w:rFonts w:ascii="仿宋_GB2312" w:eastAsia="仿宋_GB2312" w:hint="eastAsia"/>
          <w:sz w:val="32"/>
          <w:szCs w:val="32"/>
          <w:bdr w:val="none" w:sz="0" w:space="0" w:color="auto" w:frame="1"/>
        </w:rPr>
        <w:t>浙大发本〔</w:t>
      </w:r>
      <w:r>
        <w:rPr>
          <w:rFonts w:ascii="Times New Roman" w:eastAsia="仿宋_GB2312" w:hAnsi="Times New Roman" w:cs="Times New Roman"/>
          <w:sz w:val="32"/>
          <w:szCs w:val="32"/>
          <w:bdr w:val="none" w:sz="0" w:space="0" w:color="auto" w:frame="1"/>
        </w:rPr>
        <w:t>2016</w:t>
      </w:r>
      <w:r>
        <w:rPr>
          <w:rFonts w:ascii="仿宋_GB2312" w:eastAsia="仿宋_GB2312" w:hint="eastAsia"/>
          <w:sz w:val="32"/>
          <w:szCs w:val="32"/>
          <w:bdr w:val="none" w:sz="0" w:space="0" w:color="auto" w:frame="1"/>
        </w:rPr>
        <w:t>〕</w:t>
      </w:r>
      <w:r>
        <w:rPr>
          <w:rFonts w:ascii="Times New Roman" w:eastAsia="仿宋_GB2312" w:hAnsi="Times New Roman" w:cs="Times New Roman"/>
          <w:sz w:val="32"/>
          <w:szCs w:val="32"/>
          <w:bdr w:val="none" w:sz="0" w:space="0" w:color="auto" w:frame="1"/>
        </w:rPr>
        <w:t>176</w:t>
      </w:r>
      <w:r>
        <w:rPr>
          <w:rFonts w:ascii="仿宋_GB2312" w:eastAsia="仿宋_GB2312" w:hint="eastAsia"/>
          <w:sz w:val="32"/>
          <w:szCs w:val="32"/>
          <w:bdr w:val="none" w:sz="0" w:space="0" w:color="auto" w:frame="1"/>
        </w:rPr>
        <w:t>号</w:t>
      </w:r>
    </w:p>
    <w:p w:rsidR="00004E00" w:rsidRPr="00004E00" w:rsidRDefault="00004E00" w:rsidP="00004E00">
      <w:pPr>
        <w:widowControl/>
        <w:spacing w:line="600" w:lineRule="atLeast"/>
        <w:ind w:firstLine="627"/>
        <w:jc w:val="left"/>
        <w:rPr>
          <w:rFonts w:ascii="宋体" w:eastAsia="宋体" w:hAnsi="宋体" w:cs="宋体"/>
          <w:kern w:val="0"/>
          <w:sz w:val="24"/>
          <w:szCs w:val="24"/>
        </w:rPr>
      </w:pPr>
      <w:r w:rsidRPr="00004E00">
        <w:rPr>
          <w:rFonts w:ascii="黑体" w:eastAsia="黑体" w:hAnsi="黑体" w:cs="宋体" w:hint="eastAsia"/>
          <w:kern w:val="0"/>
          <w:sz w:val="32"/>
          <w:szCs w:val="32"/>
        </w:rPr>
        <w:t>第一条</w:t>
      </w:r>
      <w:r w:rsidRPr="00004E00">
        <w:rPr>
          <w:rFonts w:ascii="仿宋_GB2312" w:eastAsia="仿宋_GB2312" w:hAnsi="宋体" w:cs="宋体" w:hint="eastAsia"/>
          <w:kern w:val="0"/>
          <w:sz w:val="32"/>
          <w:szCs w:val="32"/>
        </w:rPr>
        <w:t> </w:t>
      </w:r>
      <w:r w:rsidRPr="00004E00">
        <w:rPr>
          <w:rFonts w:ascii="仿宋_GB2312" w:eastAsia="仿宋_GB2312" w:hAnsi="宋体" w:cs="宋体" w:hint="eastAsia"/>
          <w:color w:val="FF0000"/>
          <w:kern w:val="0"/>
          <w:sz w:val="32"/>
          <w:szCs w:val="32"/>
        </w:rPr>
        <w:t> </w:t>
      </w:r>
      <w:r w:rsidRPr="00004E00">
        <w:rPr>
          <w:rFonts w:ascii="仿宋_GB2312" w:eastAsia="仿宋_GB2312" w:hAnsi="宋体" w:cs="宋体" w:hint="eastAsia"/>
          <w:kern w:val="0"/>
          <w:sz w:val="32"/>
          <w:szCs w:val="32"/>
        </w:rPr>
        <w:t>为进一步完善学校教学质量保障体系，加强本科教学质量监控，促进教师教学发展，提高人才培养质量，根据学校有关文件精神，特制定本办法。</w:t>
      </w:r>
    </w:p>
    <w:p w:rsidR="00004E00" w:rsidRPr="00004E00" w:rsidRDefault="00004E00" w:rsidP="00004E00">
      <w:pPr>
        <w:widowControl/>
        <w:spacing w:line="600" w:lineRule="atLeast"/>
        <w:ind w:firstLine="627"/>
        <w:jc w:val="left"/>
        <w:rPr>
          <w:rFonts w:ascii="宋体" w:eastAsia="宋体" w:hAnsi="宋体" w:cs="宋体"/>
          <w:kern w:val="0"/>
          <w:sz w:val="24"/>
          <w:szCs w:val="24"/>
        </w:rPr>
      </w:pPr>
      <w:r w:rsidRPr="00004E00">
        <w:rPr>
          <w:rFonts w:ascii="黑体" w:eastAsia="黑体" w:hAnsi="黑体" w:cs="宋体" w:hint="eastAsia"/>
          <w:kern w:val="0"/>
          <w:sz w:val="32"/>
          <w:szCs w:val="32"/>
        </w:rPr>
        <w:t>第二条</w:t>
      </w:r>
      <w:r w:rsidRPr="00004E00">
        <w:rPr>
          <w:rFonts w:ascii="仿宋_GB2312" w:eastAsia="仿宋_GB2312" w:hAnsi="宋体" w:cs="宋体" w:hint="eastAsia"/>
          <w:kern w:val="0"/>
          <w:sz w:val="32"/>
          <w:szCs w:val="32"/>
        </w:rPr>
        <w:t> </w:t>
      </w:r>
      <w:r w:rsidRPr="00004E00">
        <w:rPr>
          <w:rFonts w:ascii="仿宋_GB2312" w:eastAsia="仿宋_GB2312" w:hAnsi="宋体" w:cs="宋体" w:hint="eastAsia"/>
          <w:kern w:val="0"/>
          <w:sz w:val="32"/>
          <w:szCs w:val="32"/>
        </w:rPr>
        <w:t>本科教学督导工作是学校内部教学质量保障体系的重要组成部分。本科教学督导工作的主要任务是：通过相对独立的观察与研究，客观反映学校本科教育教学的现状及存在的问题，为学校教育教学改革提供决策建议，为教师教学发展提供支持。</w:t>
      </w:r>
    </w:p>
    <w:p w:rsidR="00004E00" w:rsidRPr="00004E00" w:rsidRDefault="00004E00" w:rsidP="00004E00">
      <w:pPr>
        <w:widowControl/>
        <w:spacing w:line="600" w:lineRule="atLeast"/>
        <w:ind w:firstLine="627"/>
        <w:jc w:val="left"/>
        <w:rPr>
          <w:rFonts w:ascii="宋体" w:eastAsia="宋体" w:hAnsi="宋体" w:cs="宋体"/>
          <w:kern w:val="0"/>
          <w:sz w:val="24"/>
          <w:szCs w:val="24"/>
        </w:rPr>
      </w:pPr>
      <w:r w:rsidRPr="00004E00">
        <w:rPr>
          <w:rFonts w:ascii="黑体" w:eastAsia="黑体" w:hAnsi="黑体" w:cs="宋体" w:hint="eastAsia"/>
          <w:kern w:val="0"/>
          <w:sz w:val="32"/>
          <w:szCs w:val="32"/>
        </w:rPr>
        <w:t>第三条</w:t>
      </w:r>
      <w:r w:rsidRPr="00004E00">
        <w:rPr>
          <w:rFonts w:ascii="仿宋_GB2312" w:eastAsia="仿宋_GB2312" w:hAnsi="宋体" w:cs="宋体" w:hint="eastAsia"/>
          <w:kern w:val="0"/>
          <w:sz w:val="32"/>
          <w:szCs w:val="32"/>
        </w:rPr>
        <w:t> </w:t>
      </w:r>
      <w:r w:rsidRPr="00004E00">
        <w:rPr>
          <w:rFonts w:ascii="仿宋_GB2312" w:eastAsia="仿宋_GB2312" w:hAnsi="宋体" w:cs="宋体" w:hint="eastAsia"/>
          <w:kern w:val="0"/>
          <w:sz w:val="32"/>
          <w:szCs w:val="32"/>
        </w:rPr>
        <w:t>学校设立本科教学督导组，负责本科教学督导工作。本科教学督导组挂靠本科生院，在分管本科生教育的校领导指导下开展工作。</w:t>
      </w:r>
    </w:p>
    <w:p w:rsidR="00004E00" w:rsidRPr="00004E00" w:rsidRDefault="00004E00" w:rsidP="00004E00">
      <w:pPr>
        <w:widowControl/>
        <w:spacing w:line="600" w:lineRule="atLeast"/>
        <w:ind w:firstLine="627"/>
        <w:jc w:val="left"/>
        <w:rPr>
          <w:rFonts w:ascii="宋体" w:eastAsia="宋体" w:hAnsi="宋体" w:cs="宋体"/>
          <w:kern w:val="0"/>
          <w:sz w:val="24"/>
          <w:szCs w:val="24"/>
        </w:rPr>
      </w:pPr>
      <w:r w:rsidRPr="00004E00">
        <w:rPr>
          <w:rFonts w:ascii="黑体" w:eastAsia="黑体" w:hAnsi="黑体" w:cs="宋体" w:hint="eastAsia"/>
          <w:kern w:val="0"/>
          <w:sz w:val="32"/>
          <w:szCs w:val="32"/>
        </w:rPr>
        <w:t>第四条</w:t>
      </w:r>
      <w:r w:rsidRPr="00004E00">
        <w:rPr>
          <w:rFonts w:ascii="仿宋_GB2312" w:eastAsia="仿宋_GB2312" w:hAnsi="宋体" w:cs="宋体" w:hint="eastAsia"/>
          <w:kern w:val="0"/>
          <w:sz w:val="32"/>
          <w:szCs w:val="32"/>
        </w:rPr>
        <w:t> </w:t>
      </w:r>
      <w:r w:rsidRPr="00004E00">
        <w:rPr>
          <w:rFonts w:ascii="仿宋_GB2312" w:eastAsia="仿宋_GB2312" w:hAnsi="宋体" w:cs="宋体" w:hint="eastAsia"/>
          <w:kern w:val="0"/>
          <w:sz w:val="32"/>
          <w:szCs w:val="32"/>
        </w:rPr>
        <w:t>本科教学督导组主要工作职责包括：</w:t>
      </w:r>
    </w:p>
    <w:p w:rsidR="00004E00" w:rsidRPr="00004E00" w:rsidRDefault="00004E00" w:rsidP="00004E00">
      <w:pPr>
        <w:widowControl/>
        <w:spacing w:line="600" w:lineRule="atLeast"/>
        <w:ind w:firstLine="640"/>
        <w:jc w:val="left"/>
        <w:rPr>
          <w:rFonts w:ascii="宋体" w:eastAsia="宋体" w:hAnsi="宋体" w:cs="宋体"/>
          <w:kern w:val="0"/>
          <w:sz w:val="24"/>
          <w:szCs w:val="24"/>
        </w:rPr>
      </w:pPr>
      <w:r w:rsidRPr="00004E00">
        <w:rPr>
          <w:rFonts w:ascii="Times New Roman" w:eastAsia="宋体" w:hAnsi="Times New Roman" w:cs="Times New Roman"/>
          <w:kern w:val="0"/>
          <w:sz w:val="32"/>
          <w:szCs w:val="32"/>
        </w:rPr>
        <w:t>1</w:t>
      </w:r>
      <w:r w:rsidRPr="00004E00">
        <w:rPr>
          <w:rFonts w:ascii="仿宋_GB2312" w:eastAsia="仿宋_GB2312" w:hAnsi="宋体" w:cs="宋体" w:hint="eastAsia"/>
          <w:kern w:val="0"/>
          <w:sz w:val="32"/>
          <w:szCs w:val="32"/>
        </w:rPr>
        <w:t>．根据学校本科教学工作目标和本科教学工作中存在的问题，制定任期内教学督导工作目标与方案。</w:t>
      </w:r>
    </w:p>
    <w:p w:rsidR="00004E00" w:rsidRPr="00004E00" w:rsidRDefault="00004E00" w:rsidP="00004E00">
      <w:pPr>
        <w:widowControl/>
        <w:spacing w:line="600" w:lineRule="atLeast"/>
        <w:ind w:firstLine="640"/>
        <w:jc w:val="left"/>
        <w:rPr>
          <w:rFonts w:ascii="宋体" w:eastAsia="宋体" w:hAnsi="宋体" w:cs="宋体"/>
          <w:kern w:val="0"/>
          <w:sz w:val="24"/>
          <w:szCs w:val="24"/>
        </w:rPr>
      </w:pPr>
      <w:r w:rsidRPr="00004E00">
        <w:rPr>
          <w:rFonts w:ascii="Times New Roman" w:eastAsia="宋体" w:hAnsi="Times New Roman" w:cs="Times New Roman"/>
          <w:kern w:val="0"/>
          <w:sz w:val="32"/>
          <w:szCs w:val="32"/>
        </w:rPr>
        <w:t>2</w:t>
      </w:r>
      <w:r w:rsidRPr="00004E00">
        <w:rPr>
          <w:rFonts w:ascii="仿宋_GB2312" w:eastAsia="仿宋_GB2312" w:hAnsi="宋体" w:cs="宋体" w:hint="eastAsia"/>
          <w:kern w:val="0"/>
          <w:sz w:val="32"/>
          <w:szCs w:val="32"/>
        </w:rPr>
        <w:t>．制定每学期具体的听课、调研等工作计划，通过听课、调研、座谈、访谈、检查等方式，全面收集学校本科教学工作有关信息，对学校本科教学各项工作提出评价和建议，为学校及相关部门推进本科教学工作提供决策参考。</w:t>
      </w:r>
    </w:p>
    <w:p w:rsidR="00004E00" w:rsidRPr="00004E00" w:rsidRDefault="00004E00" w:rsidP="00004E00">
      <w:pPr>
        <w:widowControl/>
        <w:spacing w:line="600" w:lineRule="atLeast"/>
        <w:ind w:firstLine="640"/>
        <w:jc w:val="left"/>
        <w:rPr>
          <w:rFonts w:ascii="宋体" w:eastAsia="宋体" w:hAnsi="宋体" w:cs="宋体"/>
          <w:kern w:val="0"/>
          <w:sz w:val="24"/>
          <w:szCs w:val="24"/>
        </w:rPr>
      </w:pPr>
      <w:r w:rsidRPr="00004E00">
        <w:rPr>
          <w:rFonts w:ascii="Times New Roman" w:eastAsia="宋体" w:hAnsi="Times New Roman" w:cs="Times New Roman"/>
          <w:kern w:val="0"/>
          <w:sz w:val="32"/>
          <w:szCs w:val="32"/>
        </w:rPr>
        <w:t>3</w:t>
      </w:r>
      <w:r w:rsidRPr="00004E00">
        <w:rPr>
          <w:rFonts w:ascii="仿宋_GB2312" w:eastAsia="仿宋_GB2312" w:hAnsi="宋体" w:cs="宋体" w:hint="eastAsia"/>
          <w:kern w:val="0"/>
          <w:sz w:val="32"/>
          <w:szCs w:val="32"/>
        </w:rPr>
        <w:t>．为学校教师教学发展提供支持，具体形式包括咨询、培训、诊断性听课、现场调研与评价等。</w:t>
      </w:r>
    </w:p>
    <w:p w:rsidR="00004E00" w:rsidRPr="00004E00" w:rsidRDefault="00004E00" w:rsidP="00004E00">
      <w:pPr>
        <w:widowControl/>
        <w:spacing w:line="600" w:lineRule="atLeast"/>
        <w:ind w:firstLine="640"/>
        <w:jc w:val="left"/>
        <w:rPr>
          <w:rFonts w:ascii="宋体" w:eastAsia="宋体" w:hAnsi="宋体" w:cs="宋体"/>
          <w:kern w:val="0"/>
          <w:sz w:val="24"/>
          <w:szCs w:val="24"/>
        </w:rPr>
      </w:pPr>
      <w:r w:rsidRPr="00004E00">
        <w:rPr>
          <w:rFonts w:ascii="Times New Roman" w:eastAsia="宋体" w:hAnsi="Times New Roman" w:cs="Times New Roman"/>
          <w:kern w:val="0"/>
          <w:sz w:val="32"/>
          <w:szCs w:val="32"/>
        </w:rPr>
        <w:lastRenderedPageBreak/>
        <w:t>4</w:t>
      </w:r>
      <w:r w:rsidRPr="00004E00">
        <w:rPr>
          <w:rFonts w:ascii="仿宋_GB2312" w:eastAsia="仿宋_GB2312" w:hAnsi="宋体" w:cs="宋体" w:hint="eastAsia"/>
          <w:kern w:val="0"/>
          <w:sz w:val="32"/>
          <w:szCs w:val="32"/>
        </w:rPr>
        <w:t>．受邀参加各类本科教育教学研讨与会议，与学校及相关部门共同研讨当年度本科教育教学工作存在的主要问题和对策。</w:t>
      </w:r>
    </w:p>
    <w:p w:rsidR="00004E00" w:rsidRPr="00004E00" w:rsidRDefault="00004E00" w:rsidP="00004E00">
      <w:pPr>
        <w:widowControl/>
        <w:spacing w:line="600" w:lineRule="atLeast"/>
        <w:ind w:firstLine="627"/>
        <w:jc w:val="left"/>
        <w:rPr>
          <w:rFonts w:ascii="宋体" w:eastAsia="宋体" w:hAnsi="宋体" w:cs="宋体"/>
          <w:kern w:val="0"/>
          <w:sz w:val="24"/>
          <w:szCs w:val="24"/>
        </w:rPr>
      </w:pPr>
      <w:r w:rsidRPr="00004E00">
        <w:rPr>
          <w:rFonts w:ascii="Times New Roman" w:eastAsia="宋体" w:hAnsi="Times New Roman" w:cs="Times New Roman"/>
          <w:kern w:val="0"/>
          <w:sz w:val="32"/>
          <w:szCs w:val="32"/>
        </w:rPr>
        <w:t>5</w:t>
      </w:r>
      <w:r w:rsidRPr="00004E00">
        <w:rPr>
          <w:rFonts w:ascii="仿宋_GB2312" w:eastAsia="仿宋_GB2312" w:hAnsi="宋体" w:cs="宋体" w:hint="eastAsia"/>
          <w:kern w:val="0"/>
          <w:sz w:val="32"/>
          <w:szCs w:val="32"/>
        </w:rPr>
        <w:t>．定期研讨、总结督导工作并编制简报。</w:t>
      </w:r>
    </w:p>
    <w:p w:rsidR="00004E00" w:rsidRPr="00004E00" w:rsidRDefault="00004E00" w:rsidP="00004E00">
      <w:pPr>
        <w:widowControl/>
        <w:spacing w:line="600" w:lineRule="atLeast"/>
        <w:ind w:firstLine="627"/>
        <w:jc w:val="left"/>
        <w:rPr>
          <w:rFonts w:ascii="宋体" w:eastAsia="宋体" w:hAnsi="宋体" w:cs="宋体"/>
          <w:kern w:val="0"/>
          <w:sz w:val="24"/>
          <w:szCs w:val="24"/>
        </w:rPr>
      </w:pPr>
      <w:r w:rsidRPr="00004E00">
        <w:rPr>
          <w:rFonts w:ascii="黑体" w:eastAsia="黑体" w:hAnsi="黑体" w:cs="宋体" w:hint="eastAsia"/>
          <w:kern w:val="0"/>
          <w:sz w:val="32"/>
          <w:szCs w:val="32"/>
        </w:rPr>
        <w:t>第五条</w:t>
      </w:r>
      <w:r w:rsidRPr="00004E00">
        <w:rPr>
          <w:rFonts w:ascii="仿宋_GB2312" w:eastAsia="仿宋_GB2312" w:hAnsi="宋体" w:cs="宋体" w:hint="eastAsia"/>
          <w:kern w:val="0"/>
          <w:sz w:val="32"/>
          <w:szCs w:val="32"/>
        </w:rPr>
        <w:t> </w:t>
      </w:r>
      <w:r w:rsidRPr="00004E00">
        <w:rPr>
          <w:rFonts w:ascii="仿宋_GB2312" w:eastAsia="仿宋_GB2312" w:hAnsi="宋体" w:cs="宋体" w:hint="eastAsia"/>
          <w:kern w:val="0"/>
          <w:sz w:val="32"/>
          <w:szCs w:val="32"/>
        </w:rPr>
        <w:t>本科教学督导组由若干名本科教学督导员组成，设组长</w:t>
      </w:r>
      <w:r w:rsidRPr="00004E00">
        <w:rPr>
          <w:rFonts w:ascii="Times New Roman" w:eastAsia="仿宋_GB2312" w:hAnsi="Times New Roman" w:cs="Times New Roman"/>
          <w:kern w:val="0"/>
          <w:sz w:val="32"/>
          <w:szCs w:val="32"/>
        </w:rPr>
        <w:t>1</w:t>
      </w:r>
      <w:r w:rsidRPr="00004E00">
        <w:rPr>
          <w:rFonts w:ascii="仿宋_GB2312" w:eastAsia="仿宋_GB2312" w:hAnsi="宋体" w:cs="宋体" w:hint="eastAsia"/>
          <w:kern w:val="0"/>
          <w:sz w:val="32"/>
          <w:szCs w:val="32"/>
        </w:rPr>
        <w:t>名，副组长</w:t>
      </w:r>
      <w:r w:rsidRPr="00004E00">
        <w:rPr>
          <w:rFonts w:ascii="Times New Roman" w:eastAsia="仿宋_GB2312" w:hAnsi="Times New Roman" w:cs="Times New Roman"/>
          <w:kern w:val="0"/>
          <w:sz w:val="32"/>
          <w:szCs w:val="32"/>
        </w:rPr>
        <w:t>2—3</w:t>
      </w:r>
      <w:r w:rsidRPr="00004E00">
        <w:rPr>
          <w:rFonts w:ascii="仿宋_GB2312" w:eastAsia="仿宋_GB2312" w:hAnsi="宋体" w:cs="宋体" w:hint="eastAsia"/>
          <w:kern w:val="0"/>
          <w:sz w:val="32"/>
          <w:szCs w:val="32"/>
        </w:rPr>
        <w:t>名。本科教学督导员由学校聘任，聘期三年。各学院（系）负责督导员候选人的推荐，学校根据被推荐人的学科领域、教学经历等情况确定聘任人选，并颁发聘书。</w:t>
      </w:r>
    </w:p>
    <w:p w:rsidR="00004E00" w:rsidRPr="00004E00" w:rsidRDefault="00004E00" w:rsidP="00004E00">
      <w:pPr>
        <w:widowControl/>
        <w:spacing w:line="600" w:lineRule="atLeast"/>
        <w:ind w:firstLine="640"/>
        <w:jc w:val="left"/>
        <w:rPr>
          <w:rFonts w:ascii="宋体" w:eastAsia="宋体" w:hAnsi="宋体" w:cs="宋体"/>
          <w:kern w:val="0"/>
          <w:sz w:val="24"/>
          <w:szCs w:val="24"/>
        </w:rPr>
      </w:pPr>
      <w:r w:rsidRPr="00004E00">
        <w:rPr>
          <w:rFonts w:ascii="黑体" w:eastAsia="黑体" w:hAnsi="黑体" w:cs="宋体" w:hint="eastAsia"/>
          <w:kern w:val="0"/>
          <w:sz w:val="32"/>
          <w:szCs w:val="32"/>
        </w:rPr>
        <w:t>第六条</w:t>
      </w:r>
      <w:r w:rsidRPr="00004E00">
        <w:rPr>
          <w:rFonts w:ascii="仿宋_GB2312" w:eastAsia="仿宋_GB2312" w:hAnsi="宋体" w:cs="宋体" w:hint="eastAsia"/>
          <w:kern w:val="0"/>
          <w:sz w:val="32"/>
          <w:szCs w:val="32"/>
        </w:rPr>
        <w:t> </w:t>
      </w:r>
      <w:r w:rsidRPr="00004E00">
        <w:rPr>
          <w:rFonts w:ascii="仿宋_GB2312" w:eastAsia="仿宋_GB2312" w:hAnsi="宋体" w:cs="宋体" w:hint="eastAsia"/>
          <w:kern w:val="0"/>
          <w:sz w:val="32"/>
          <w:szCs w:val="32"/>
        </w:rPr>
        <w:t>本科教学督导员应具备以下任职条件：</w:t>
      </w:r>
    </w:p>
    <w:p w:rsidR="00004E00" w:rsidRPr="00004E00" w:rsidRDefault="00004E00" w:rsidP="00004E00">
      <w:pPr>
        <w:widowControl/>
        <w:spacing w:line="600" w:lineRule="atLeast"/>
        <w:ind w:firstLine="640"/>
        <w:jc w:val="left"/>
        <w:rPr>
          <w:rFonts w:ascii="宋体" w:eastAsia="宋体" w:hAnsi="宋体" w:cs="宋体"/>
          <w:kern w:val="0"/>
          <w:sz w:val="24"/>
          <w:szCs w:val="24"/>
        </w:rPr>
      </w:pPr>
      <w:r w:rsidRPr="00004E00">
        <w:rPr>
          <w:rFonts w:ascii="Times New Roman" w:eastAsia="宋体" w:hAnsi="Times New Roman" w:cs="Times New Roman"/>
          <w:kern w:val="0"/>
          <w:sz w:val="32"/>
          <w:szCs w:val="32"/>
        </w:rPr>
        <w:t>1</w:t>
      </w:r>
      <w:r w:rsidRPr="00004E00">
        <w:rPr>
          <w:rFonts w:ascii="仿宋_GB2312" w:eastAsia="仿宋_GB2312" w:hAnsi="宋体" w:cs="宋体" w:hint="eastAsia"/>
          <w:kern w:val="0"/>
          <w:sz w:val="32"/>
          <w:szCs w:val="32"/>
        </w:rPr>
        <w:t>．学校退休或在职教师，热心本科教学督导工作，责任心强；</w:t>
      </w:r>
    </w:p>
    <w:p w:rsidR="00004E00" w:rsidRPr="00004E00" w:rsidRDefault="00004E00" w:rsidP="00004E00">
      <w:pPr>
        <w:widowControl/>
        <w:spacing w:line="600" w:lineRule="atLeast"/>
        <w:ind w:firstLine="640"/>
        <w:jc w:val="left"/>
        <w:rPr>
          <w:rFonts w:ascii="宋体" w:eastAsia="宋体" w:hAnsi="宋体" w:cs="宋体"/>
          <w:kern w:val="0"/>
          <w:sz w:val="24"/>
          <w:szCs w:val="24"/>
        </w:rPr>
      </w:pPr>
      <w:r w:rsidRPr="00004E00">
        <w:rPr>
          <w:rFonts w:ascii="Times New Roman" w:eastAsia="宋体" w:hAnsi="Times New Roman" w:cs="Times New Roman"/>
          <w:kern w:val="0"/>
          <w:sz w:val="32"/>
          <w:szCs w:val="32"/>
        </w:rPr>
        <w:t>2</w:t>
      </w:r>
      <w:r w:rsidRPr="00004E00">
        <w:rPr>
          <w:rFonts w:ascii="仿宋_GB2312" w:eastAsia="仿宋_GB2312" w:hAnsi="宋体" w:cs="宋体" w:hint="eastAsia"/>
          <w:kern w:val="0"/>
          <w:sz w:val="32"/>
          <w:szCs w:val="32"/>
        </w:rPr>
        <w:t>．具有高级专业技术职务，学术造诣深、教学水平高；</w:t>
      </w:r>
    </w:p>
    <w:p w:rsidR="00004E00" w:rsidRPr="00004E00" w:rsidRDefault="00004E00" w:rsidP="00004E00">
      <w:pPr>
        <w:widowControl/>
        <w:spacing w:line="600" w:lineRule="atLeast"/>
        <w:ind w:firstLine="640"/>
        <w:jc w:val="left"/>
        <w:rPr>
          <w:rFonts w:ascii="宋体" w:eastAsia="宋体" w:hAnsi="宋体" w:cs="宋体"/>
          <w:kern w:val="0"/>
          <w:sz w:val="24"/>
          <w:szCs w:val="24"/>
        </w:rPr>
      </w:pPr>
      <w:r w:rsidRPr="00004E00">
        <w:rPr>
          <w:rFonts w:ascii="Times New Roman" w:eastAsia="宋体" w:hAnsi="Times New Roman" w:cs="Times New Roman"/>
          <w:kern w:val="0"/>
          <w:sz w:val="32"/>
          <w:szCs w:val="32"/>
        </w:rPr>
        <w:t>3</w:t>
      </w:r>
      <w:r w:rsidRPr="00004E00">
        <w:rPr>
          <w:rFonts w:ascii="仿宋_GB2312" w:eastAsia="仿宋_GB2312" w:hAnsi="宋体" w:cs="宋体" w:hint="eastAsia"/>
          <w:kern w:val="0"/>
          <w:sz w:val="32"/>
          <w:szCs w:val="32"/>
        </w:rPr>
        <w:t>．具有良好的沟通和团队协作能力。</w:t>
      </w:r>
    </w:p>
    <w:p w:rsidR="00004E00" w:rsidRPr="00004E00" w:rsidRDefault="00004E00" w:rsidP="00004E00">
      <w:pPr>
        <w:widowControl/>
        <w:spacing w:line="600" w:lineRule="atLeast"/>
        <w:ind w:firstLine="627"/>
        <w:jc w:val="left"/>
        <w:rPr>
          <w:rFonts w:ascii="宋体" w:eastAsia="宋体" w:hAnsi="宋体" w:cs="宋体"/>
          <w:kern w:val="0"/>
          <w:sz w:val="24"/>
          <w:szCs w:val="24"/>
        </w:rPr>
      </w:pPr>
      <w:r w:rsidRPr="00004E00">
        <w:rPr>
          <w:rFonts w:ascii="黑体" w:eastAsia="黑体" w:hAnsi="黑体" w:cs="宋体" w:hint="eastAsia"/>
          <w:kern w:val="0"/>
          <w:sz w:val="32"/>
          <w:szCs w:val="32"/>
        </w:rPr>
        <w:t>第七条</w:t>
      </w:r>
      <w:r w:rsidRPr="00004E00">
        <w:rPr>
          <w:rFonts w:ascii="仿宋_GB2312" w:eastAsia="仿宋_GB2312" w:hAnsi="宋体" w:cs="宋体" w:hint="eastAsia"/>
          <w:kern w:val="0"/>
          <w:sz w:val="32"/>
          <w:szCs w:val="32"/>
        </w:rPr>
        <w:t> </w:t>
      </w:r>
      <w:r w:rsidRPr="00004E00">
        <w:rPr>
          <w:rFonts w:ascii="仿宋_GB2312" w:eastAsia="仿宋_GB2312" w:hAnsi="宋体" w:cs="宋体" w:hint="eastAsia"/>
          <w:kern w:val="0"/>
          <w:sz w:val="32"/>
          <w:szCs w:val="32"/>
        </w:rPr>
        <w:t>本科教学督导员在聘期内享受教学督导津贴。</w:t>
      </w:r>
    </w:p>
    <w:p w:rsidR="00004E00" w:rsidRPr="00004E00" w:rsidRDefault="00004E00" w:rsidP="00004E00">
      <w:pPr>
        <w:widowControl/>
        <w:spacing w:line="600" w:lineRule="atLeast"/>
        <w:ind w:firstLine="640"/>
        <w:jc w:val="left"/>
        <w:rPr>
          <w:rFonts w:ascii="宋体" w:eastAsia="宋体" w:hAnsi="宋体" w:cs="宋体"/>
          <w:kern w:val="0"/>
          <w:sz w:val="24"/>
          <w:szCs w:val="24"/>
        </w:rPr>
      </w:pPr>
      <w:r w:rsidRPr="00004E00">
        <w:rPr>
          <w:rFonts w:ascii="黑体" w:eastAsia="黑体" w:hAnsi="黑体" w:cs="宋体" w:hint="eastAsia"/>
          <w:kern w:val="0"/>
          <w:sz w:val="32"/>
          <w:szCs w:val="32"/>
        </w:rPr>
        <w:t>第八条</w:t>
      </w:r>
      <w:r w:rsidRPr="00004E00">
        <w:rPr>
          <w:rFonts w:ascii="仿宋_GB2312" w:eastAsia="仿宋_GB2312" w:hAnsi="宋体" w:cs="宋体" w:hint="eastAsia"/>
          <w:kern w:val="0"/>
          <w:sz w:val="32"/>
          <w:szCs w:val="32"/>
        </w:rPr>
        <w:t> </w:t>
      </w:r>
      <w:r w:rsidRPr="00004E00">
        <w:rPr>
          <w:rFonts w:ascii="仿宋_GB2312" w:eastAsia="仿宋_GB2312" w:hAnsi="宋体" w:cs="宋体" w:hint="eastAsia"/>
          <w:kern w:val="0"/>
          <w:sz w:val="32"/>
          <w:szCs w:val="32"/>
        </w:rPr>
        <w:t>学校为本科教学督导员提供必要的教育教学评价、教师发展、现代教育技术等理论与方法培训，以及同行交流平台。</w:t>
      </w:r>
    </w:p>
    <w:p w:rsidR="00004E00" w:rsidRPr="00004E00" w:rsidRDefault="00004E00" w:rsidP="00004E00">
      <w:pPr>
        <w:widowControl/>
        <w:spacing w:line="600" w:lineRule="atLeast"/>
        <w:ind w:firstLine="640"/>
        <w:jc w:val="left"/>
        <w:rPr>
          <w:rFonts w:ascii="宋体" w:eastAsia="宋体" w:hAnsi="宋体" w:cs="宋体"/>
          <w:kern w:val="0"/>
          <w:sz w:val="24"/>
          <w:szCs w:val="24"/>
        </w:rPr>
      </w:pPr>
      <w:r w:rsidRPr="00004E00">
        <w:rPr>
          <w:rFonts w:ascii="黑体" w:eastAsia="黑体" w:hAnsi="黑体" w:cs="宋体" w:hint="eastAsia"/>
          <w:kern w:val="0"/>
          <w:sz w:val="32"/>
          <w:szCs w:val="32"/>
        </w:rPr>
        <w:t>第九条</w:t>
      </w:r>
      <w:r w:rsidRPr="00004E00">
        <w:rPr>
          <w:rFonts w:ascii="仿宋_GB2312" w:eastAsia="仿宋_GB2312" w:hAnsi="宋体" w:cs="宋体" w:hint="eastAsia"/>
          <w:kern w:val="0"/>
          <w:sz w:val="32"/>
          <w:szCs w:val="32"/>
        </w:rPr>
        <w:t> </w:t>
      </w:r>
      <w:r w:rsidRPr="00004E00">
        <w:rPr>
          <w:rFonts w:ascii="仿宋_GB2312" w:eastAsia="仿宋_GB2312" w:hAnsi="宋体" w:cs="宋体" w:hint="eastAsia"/>
          <w:kern w:val="0"/>
          <w:sz w:val="32"/>
          <w:szCs w:val="32"/>
        </w:rPr>
        <w:t>学校为本科教学督导组配备专门的办公场所及设备，并提供一定数额的研究经费。</w:t>
      </w:r>
    </w:p>
    <w:p w:rsidR="00004E00" w:rsidRPr="00004E00" w:rsidRDefault="00004E00" w:rsidP="00004E00">
      <w:pPr>
        <w:widowControl/>
        <w:spacing w:line="600" w:lineRule="atLeast"/>
        <w:ind w:firstLine="640"/>
        <w:jc w:val="left"/>
        <w:rPr>
          <w:rFonts w:ascii="宋体" w:eastAsia="宋体" w:hAnsi="宋体" w:cs="宋体"/>
          <w:kern w:val="0"/>
          <w:sz w:val="24"/>
          <w:szCs w:val="24"/>
        </w:rPr>
      </w:pPr>
      <w:r w:rsidRPr="00004E00">
        <w:rPr>
          <w:rFonts w:ascii="黑体" w:eastAsia="黑体" w:hAnsi="黑体" w:cs="宋体" w:hint="eastAsia"/>
          <w:kern w:val="0"/>
          <w:sz w:val="32"/>
          <w:szCs w:val="32"/>
        </w:rPr>
        <w:lastRenderedPageBreak/>
        <w:t>第十条</w:t>
      </w:r>
      <w:r w:rsidRPr="00004E00">
        <w:rPr>
          <w:rFonts w:ascii="仿宋_GB2312" w:eastAsia="仿宋_GB2312" w:hAnsi="宋体" w:cs="宋体" w:hint="eastAsia"/>
          <w:kern w:val="0"/>
          <w:sz w:val="32"/>
          <w:szCs w:val="32"/>
        </w:rPr>
        <w:t> </w:t>
      </w:r>
      <w:r w:rsidRPr="00004E00">
        <w:rPr>
          <w:rFonts w:ascii="仿宋_GB2312" w:eastAsia="仿宋_GB2312" w:hAnsi="宋体" w:cs="宋体" w:hint="eastAsia"/>
          <w:kern w:val="0"/>
          <w:sz w:val="32"/>
          <w:szCs w:val="32"/>
        </w:rPr>
        <w:t>本科教学督导组在工作中发现的问题及改进建议，可以向学校有关职能部门反映，也可以直接向学校领导反映。</w:t>
      </w:r>
    </w:p>
    <w:p w:rsidR="00004E00" w:rsidRPr="00004E00" w:rsidRDefault="00004E00" w:rsidP="00004E00">
      <w:pPr>
        <w:widowControl/>
        <w:spacing w:line="600" w:lineRule="atLeast"/>
        <w:ind w:firstLine="640"/>
        <w:jc w:val="left"/>
        <w:rPr>
          <w:rFonts w:ascii="宋体" w:eastAsia="宋体" w:hAnsi="宋体" w:cs="宋体"/>
          <w:kern w:val="0"/>
          <w:sz w:val="24"/>
          <w:szCs w:val="24"/>
        </w:rPr>
      </w:pPr>
      <w:r w:rsidRPr="00004E00">
        <w:rPr>
          <w:rFonts w:ascii="黑体" w:eastAsia="黑体" w:hAnsi="黑体" w:cs="宋体" w:hint="eastAsia"/>
          <w:kern w:val="0"/>
          <w:sz w:val="32"/>
          <w:szCs w:val="32"/>
        </w:rPr>
        <w:t>第十一条</w:t>
      </w:r>
      <w:r w:rsidRPr="00004E00">
        <w:rPr>
          <w:rFonts w:ascii="仿宋_GB2312" w:eastAsia="仿宋_GB2312" w:hAnsi="宋体" w:cs="宋体" w:hint="eastAsia"/>
          <w:kern w:val="0"/>
          <w:sz w:val="32"/>
          <w:szCs w:val="32"/>
        </w:rPr>
        <w:t> </w:t>
      </w:r>
      <w:r w:rsidRPr="00004E00">
        <w:rPr>
          <w:rFonts w:ascii="仿宋_GB2312" w:eastAsia="仿宋_GB2312" w:hAnsi="宋体" w:cs="宋体" w:hint="eastAsia"/>
          <w:kern w:val="0"/>
          <w:sz w:val="32"/>
          <w:szCs w:val="32"/>
        </w:rPr>
        <w:t>学校有关职能部门在收到本科教学督导组的相关材料后，应在</w:t>
      </w:r>
      <w:r w:rsidRPr="00004E00">
        <w:rPr>
          <w:rFonts w:ascii="Times New Roman" w:eastAsia="仿宋_GB2312" w:hAnsi="Times New Roman" w:cs="Times New Roman"/>
          <w:kern w:val="0"/>
          <w:sz w:val="32"/>
          <w:szCs w:val="32"/>
        </w:rPr>
        <w:t>2</w:t>
      </w:r>
      <w:r w:rsidRPr="00004E00">
        <w:rPr>
          <w:rFonts w:ascii="仿宋_GB2312" w:eastAsia="仿宋_GB2312" w:hAnsi="宋体" w:cs="宋体" w:hint="eastAsia"/>
          <w:kern w:val="0"/>
          <w:sz w:val="32"/>
          <w:szCs w:val="32"/>
        </w:rPr>
        <w:t>周内对所反映的问题进行研究和处理，制定改进方案，并将改进及进展情况及时向本科教学督导组反馈。</w:t>
      </w:r>
    </w:p>
    <w:p w:rsidR="00004E00" w:rsidRPr="00004E00" w:rsidRDefault="00004E00" w:rsidP="00004E00">
      <w:pPr>
        <w:widowControl/>
        <w:spacing w:line="600" w:lineRule="atLeast"/>
        <w:ind w:firstLine="640"/>
        <w:jc w:val="left"/>
        <w:rPr>
          <w:rFonts w:ascii="宋体" w:eastAsia="宋体" w:hAnsi="宋体" w:cs="宋体"/>
          <w:kern w:val="0"/>
          <w:sz w:val="24"/>
          <w:szCs w:val="24"/>
        </w:rPr>
      </w:pPr>
      <w:r w:rsidRPr="00004E00">
        <w:rPr>
          <w:rFonts w:ascii="黑体" w:eastAsia="黑体" w:hAnsi="黑体" w:cs="宋体" w:hint="eastAsia"/>
          <w:kern w:val="0"/>
          <w:sz w:val="32"/>
          <w:szCs w:val="32"/>
        </w:rPr>
        <w:t>第十二条</w:t>
      </w:r>
      <w:r w:rsidRPr="00004E00">
        <w:rPr>
          <w:rFonts w:ascii="仿宋_GB2312" w:eastAsia="仿宋_GB2312" w:hAnsi="宋体" w:cs="宋体" w:hint="eastAsia"/>
          <w:kern w:val="0"/>
          <w:sz w:val="32"/>
          <w:szCs w:val="32"/>
        </w:rPr>
        <w:t> </w:t>
      </w:r>
      <w:r w:rsidRPr="00004E00">
        <w:rPr>
          <w:rFonts w:ascii="仿宋_GB2312" w:eastAsia="仿宋_GB2312" w:hAnsi="宋体" w:cs="宋体" w:hint="eastAsia"/>
          <w:kern w:val="0"/>
          <w:sz w:val="32"/>
          <w:szCs w:val="32"/>
        </w:rPr>
        <w:t>学校各部门、各学院（系）、各单位和教职员工应积极配合本科教学督导工作，保障本科教学督导工作顺利进行。</w:t>
      </w:r>
    </w:p>
    <w:p w:rsidR="00004E00" w:rsidRPr="00004E00" w:rsidRDefault="00004E00" w:rsidP="00004E00">
      <w:pPr>
        <w:widowControl/>
        <w:spacing w:line="600" w:lineRule="atLeast"/>
        <w:ind w:firstLine="640"/>
        <w:jc w:val="left"/>
        <w:rPr>
          <w:rFonts w:ascii="宋体" w:eastAsia="宋体" w:hAnsi="宋体" w:cs="宋体"/>
          <w:kern w:val="0"/>
          <w:sz w:val="24"/>
          <w:szCs w:val="24"/>
        </w:rPr>
      </w:pPr>
      <w:r w:rsidRPr="00004E00">
        <w:rPr>
          <w:rFonts w:ascii="黑体" w:eastAsia="黑体" w:hAnsi="黑体" w:cs="宋体" w:hint="eastAsia"/>
          <w:kern w:val="0"/>
          <w:sz w:val="32"/>
          <w:szCs w:val="32"/>
        </w:rPr>
        <w:t>第十三条</w:t>
      </w:r>
      <w:r w:rsidRPr="00004E00">
        <w:rPr>
          <w:rFonts w:ascii="仿宋_GB2312" w:eastAsia="仿宋_GB2312" w:hAnsi="宋体" w:cs="宋体" w:hint="eastAsia"/>
          <w:kern w:val="0"/>
          <w:sz w:val="32"/>
          <w:szCs w:val="32"/>
        </w:rPr>
        <w:t> </w:t>
      </w:r>
      <w:r w:rsidRPr="00004E00">
        <w:rPr>
          <w:rFonts w:ascii="仿宋_GB2312" w:eastAsia="仿宋_GB2312" w:hAnsi="宋体" w:cs="宋体" w:hint="eastAsia"/>
          <w:kern w:val="0"/>
          <w:sz w:val="32"/>
          <w:szCs w:val="32"/>
        </w:rPr>
        <w:t>各学院（系）应参照本办法制定本学院（系）本科教学督导工作实施细则，组织开展学院（系）本科教学督导工作。</w:t>
      </w:r>
    </w:p>
    <w:p w:rsidR="00004E00" w:rsidRPr="00004E00" w:rsidRDefault="00004E00" w:rsidP="00004E00">
      <w:pPr>
        <w:widowControl/>
        <w:spacing w:line="600" w:lineRule="atLeast"/>
        <w:ind w:firstLine="640"/>
        <w:jc w:val="left"/>
        <w:rPr>
          <w:rFonts w:ascii="宋体" w:eastAsia="宋体" w:hAnsi="宋体" w:cs="宋体"/>
          <w:kern w:val="0"/>
          <w:sz w:val="24"/>
          <w:szCs w:val="24"/>
        </w:rPr>
      </w:pPr>
      <w:r w:rsidRPr="00004E00">
        <w:rPr>
          <w:rFonts w:ascii="黑体" w:eastAsia="黑体" w:hAnsi="黑体" w:cs="宋体" w:hint="eastAsia"/>
          <w:kern w:val="0"/>
          <w:sz w:val="32"/>
          <w:szCs w:val="32"/>
        </w:rPr>
        <w:t>第十四条</w:t>
      </w:r>
      <w:r w:rsidRPr="00004E00">
        <w:rPr>
          <w:rFonts w:ascii="仿宋_GB2312" w:eastAsia="仿宋_GB2312" w:hAnsi="宋体" w:cs="宋体" w:hint="eastAsia"/>
          <w:kern w:val="0"/>
          <w:sz w:val="32"/>
          <w:szCs w:val="32"/>
        </w:rPr>
        <w:t> </w:t>
      </w:r>
      <w:r w:rsidRPr="00004E00">
        <w:rPr>
          <w:rFonts w:ascii="仿宋_GB2312" w:eastAsia="仿宋_GB2312" w:hAnsi="宋体" w:cs="宋体" w:hint="eastAsia"/>
          <w:kern w:val="0"/>
          <w:sz w:val="32"/>
          <w:szCs w:val="32"/>
        </w:rPr>
        <w:t>本办法由本科生院负责解释。</w:t>
      </w:r>
    </w:p>
    <w:p w:rsidR="00004E00" w:rsidRPr="00004E00" w:rsidRDefault="00004E00" w:rsidP="00004E00">
      <w:pPr>
        <w:widowControl/>
        <w:spacing w:line="600" w:lineRule="atLeast"/>
        <w:ind w:firstLine="640"/>
        <w:jc w:val="left"/>
        <w:rPr>
          <w:rFonts w:ascii="宋体" w:eastAsia="宋体" w:hAnsi="宋体" w:cs="宋体"/>
          <w:kern w:val="0"/>
          <w:sz w:val="24"/>
          <w:szCs w:val="24"/>
        </w:rPr>
      </w:pPr>
      <w:r w:rsidRPr="00004E00">
        <w:rPr>
          <w:rFonts w:ascii="黑体" w:eastAsia="黑体" w:hAnsi="黑体" w:cs="宋体" w:hint="eastAsia"/>
          <w:kern w:val="0"/>
          <w:sz w:val="32"/>
          <w:szCs w:val="32"/>
        </w:rPr>
        <w:t>第十五条</w:t>
      </w:r>
      <w:r w:rsidRPr="00004E00">
        <w:rPr>
          <w:rFonts w:ascii="仿宋_GB2312" w:eastAsia="仿宋_GB2312" w:hAnsi="宋体" w:cs="宋体" w:hint="eastAsia"/>
          <w:kern w:val="0"/>
          <w:sz w:val="32"/>
          <w:szCs w:val="32"/>
        </w:rPr>
        <w:t> </w:t>
      </w:r>
      <w:r w:rsidRPr="00004E00">
        <w:rPr>
          <w:rFonts w:ascii="仿宋_GB2312" w:eastAsia="仿宋_GB2312" w:hAnsi="宋体" w:cs="宋体" w:hint="eastAsia"/>
          <w:kern w:val="0"/>
          <w:sz w:val="32"/>
          <w:szCs w:val="32"/>
        </w:rPr>
        <w:t>本办法自发布之日起施行。</w:t>
      </w:r>
    </w:p>
    <w:p w:rsidR="00463ED8" w:rsidRPr="00004E00" w:rsidRDefault="00463ED8" w:rsidP="00004E00">
      <w:pPr>
        <w:pStyle w:val="a5"/>
        <w:spacing w:before="0" w:beforeAutospacing="0" w:after="0" w:afterAutospacing="0"/>
      </w:pPr>
    </w:p>
    <w:sectPr w:rsidR="00463ED8" w:rsidRPr="00004E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ED8" w:rsidRDefault="00463ED8" w:rsidP="00004E00">
      <w:r>
        <w:separator/>
      </w:r>
    </w:p>
  </w:endnote>
  <w:endnote w:type="continuationSeparator" w:id="1">
    <w:p w:rsidR="00463ED8" w:rsidRDefault="00463ED8" w:rsidP="00004E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ED8" w:rsidRDefault="00463ED8" w:rsidP="00004E00">
      <w:r>
        <w:separator/>
      </w:r>
    </w:p>
  </w:footnote>
  <w:footnote w:type="continuationSeparator" w:id="1">
    <w:p w:rsidR="00463ED8" w:rsidRDefault="00463ED8" w:rsidP="00004E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4E00"/>
    <w:rsid w:val="00004E00"/>
    <w:rsid w:val="00463E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4E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4E00"/>
    <w:rPr>
      <w:sz w:val="18"/>
      <w:szCs w:val="18"/>
    </w:rPr>
  </w:style>
  <w:style w:type="paragraph" w:styleId="a4">
    <w:name w:val="footer"/>
    <w:basedOn w:val="a"/>
    <w:link w:val="Char0"/>
    <w:uiPriority w:val="99"/>
    <w:semiHidden/>
    <w:unhideWhenUsed/>
    <w:rsid w:val="00004E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4E00"/>
    <w:rPr>
      <w:sz w:val="18"/>
      <w:szCs w:val="18"/>
    </w:rPr>
  </w:style>
  <w:style w:type="paragraph" w:styleId="a5">
    <w:name w:val="Normal (Web)"/>
    <w:basedOn w:val="a"/>
    <w:uiPriority w:val="99"/>
    <w:unhideWhenUsed/>
    <w:rsid w:val="00004E0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20630982">
      <w:bodyDiv w:val="1"/>
      <w:marLeft w:val="0"/>
      <w:marRight w:val="0"/>
      <w:marTop w:val="0"/>
      <w:marBottom w:val="0"/>
      <w:divBdr>
        <w:top w:val="none" w:sz="0" w:space="0" w:color="auto"/>
        <w:left w:val="none" w:sz="0" w:space="0" w:color="auto"/>
        <w:bottom w:val="none" w:sz="0" w:space="0" w:color="auto"/>
        <w:right w:val="none" w:sz="0" w:space="0" w:color="auto"/>
      </w:divBdr>
      <w:divsChild>
        <w:div w:id="1727411455">
          <w:marLeft w:val="0"/>
          <w:marRight w:val="0"/>
          <w:marTop w:val="0"/>
          <w:marBottom w:val="0"/>
          <w:divBdr>
            <w:top w:val="none" w:sz="0" w:space="0" w:color="auto"/>
            <w:left w:val="none" w:sz="0" w:space="0" w:color="auto"/>
            <w:bottom w:val="none" w:sz="0" w:space="0" w:color="auto"/>
            <w:right w:val="none" w:sz="0" w:space="0" w:color="auto"/>
          </w:divBdr>
        </w:div>
        <w:div w:id="741877592">
          <w:marLeft w:val="0"/>
          <w:marRight w:val="0"/>
          <w:marTop w:val="0"/>
          <w:marBottom w:val="0"/>
          <w:divBdr>
            <w:top w:val="none" w:sz="0" w:space="0" w:color="auto"/>
            <w:left w:val="none" w:sz="0" w:space="0" w:color="auto"/>
            <w:bottom w:val="none" w:sz="0" w:space="0" w:color="auto"/>
            <w:right w:val="none" w:sz="0" w:space="0" w:color="auto"/>
          </w:divBdr>
        </w:div>
        <w:div w:id="1624919361">
          <w:marLeft w:val="0"/>
          <w:marRight w:val="0"/>
          <w:marTop w:val="0"/>
          <w:marBottom w:val="0"/>
          <w:divBdr>
            <w:top w:val="none" w:sz="0" w:space="0" w:color="auto"/>
            <w:left w:val="none" w:sz="0" w:space="0" w:color="auto"/>
            <w:bottom w:val="none" w:sz="0" w:space="0" w:color="auto"/>
            <w:right w:val="none" w:sz="0" w:space="0" w:color="auto"/>
          </w:divBdr>
        </w:div>
        <w:div w:id="1226254547">
          <w:marLeft w:val="0"/>
          <w:marRight w:val="0"/>
          <w:marTop w:val="0"/>
          <w:marBottom w:val="0"/>
          <w:divBdr>
            <w:top w:val="none" w:sz="0" w:space="0" w:color="auto"/>
            <w:left w:val="none" w:sz="0" w:space="0" w:color="auto"/>
            <w:bottom w:val="none" w:sz="0" w:space="0" w:color="auto"/>
            <w:right w:val="none" w:sz="0" w:space="0" w:color="auto"/>
          </w:divBdr>
        </w:div>
        <w:div w:id="886065786">
          <w:marLeft w:val="0"/>
          <w:marRight w:val="0"/>
          <w:marTop w:val="0"/>
          <w:marBottom w:val="0"/>
          <w:divBdr>
            <w:top w:val="none" w:sz="0" w:space="0" w:color="auto"/>
            <w:left w:val="none" w:sz="0" w:space="0" w:color="auto"/>
            <w:bottom w:val="none" w:sz="0" w:space="0" w:color="auto"/>
            <w:right w:val="none" w:sz="0" w:space="0" w:color="auto"/>
          </w:divBdr>
        </w:div>
        <w:div w:id="1301422635">
          <w:marLeft w:val="0"/>
          <w:marRight w:val="0"/>
          <w:marTop w:val="0"/>
          <w:marBottom w:val="0"/>
          <w:divBdr>
            <w:top w:val="none" w:sz="0" w:space="0" w:color="auto"/>
            <w:left w:val="none" w:sz="0" w:space="0" w:color="auto"/>
            <w:bottom w:val="none" w:sz="0" w:space="0" w:color="auto"/>
            <w:right w:val="none" w:sz="0" w:space="0" w:color="auto"/>
          </w:divBdr>
        </w:div>
        <w:div w:id="1542739674">
          <w:marLeft w:val="0"/>
          <w:marRight w:val="0"/>
          <w:marTop w:val="0"/>
          <w:marBottom w:val="0"/>
          <w:divBdr>
            <w:top w:val="none" w:sz="0" w:space="0" w:color="auto"/>
            <w:left w:val="none" w:sz="0" w:space="0" w:color="auto"/>
            <w:bottom w:val="none" w:sz="0" w:space="0" w:color="auto"/>
            <w:right w:val="none" w:sz="0" w:space="0" w:color="auto"/>
          </w:divBdr>
        </w:div>
        <w:div w:id="217328142">
          <w:marLeft w:val="0"/>
          <w:marRight w:val="0"/>
          <w:marTop w:val="0"/>
          <w:marBottom w:val="0"/>
          <w:divBdr>
            <w:top w:val="none" w:sz="0" w:space="0" w:color="auto"/>
            <w:left w:val="none" w:sz="0" w:space="0" w:color="auto"/>
            <w:bottom w:val="none" w:sz="0" w:space="0" w:color="auto"/>
            <w:right w:val="none" w:sz="0" w:space="0" w:color="auto"/>
          </w:divBdr>
        </w:div>
        <w:div w:id="42562510">
          <w:marLeft w:val="0"/>
          <w:marRight w:val="0"/>
          <w:marTop w:val="0"/>
          <w:marBottom w:val="0"/>
          <w:divBdr>
            <w:top w:val="none" w:sz="0" w:space="0" w:color="auto"/>
            <w:left w:val="none" w:sz="0" w:space="0" w:color="auto"/>
            <w:bottom w:val="none" w:sz="0" w:space="0" w:color="auto"/>
            <w:right w:val="none" w:sz="0" w:space="0" w:color="auto"/>
          </w:divBdr>
        </w:div>
        <w:div w:id="1422987520">
          <w:marLeft w:val="0"/>
          <w:marRight w:val="0"/>
          <w:marTop w:val="0"/>
          <w:marBottom w:val="0"/>
          <w:divBdr>
            <w:top w:val="none" w:sz="0" w:space="0" w:color="auto"/>
            <w:left w:val="none" w:sz="0" w:space="0" w:color="auto"/>
            <w:bottom w:val="none" w:sz="0" w:space="0" w:color="auto"/>
            <w:right w:val="none" w:sz="0" w:space="0" w:color="auto"/>
          </w:divBdr>
        </w:div>
        <w:div w:id="715811083">
          <w:marLeft w:val="0"/>
          <w:marRight w:val="0"/>
          <w:marTop w:val="0"/>
          <w:marBottom w:val="0"/>
          <w:divBdr>
            <w:top w:val="none" w:sz="0" w:space="0" w:color="auto"/>
            <w:left w:val="none" w:sz="0" w:space="0" w:color="auto"/>
            <w:bottom w:val="none" w:sz="0" w:space="0" w:color="auto"/>
            <w:right w:val="none" w:sz="0" w:space="0" w:color="auto"/>
          </w:divBdr>
        </w:div>
        <w:div w:id="1924560190">
          <w:marLeft w:val="0"/>
          <w:marRight w:val="0"/>
          <w:marTop w:val="0"/>
          <w:marBottom w:val="0"/>
          <w:divBdr>
            <w:top w:val="none" w:sz="0" w:space="0" w:color="auto"/>
            <w:left w:val="none" w:sz="0" w:space="0" w:color="auto"/>
            <w:bottom w:val="none" w:sz="0" w:space="0" w:color="auto"/>
            <w:right w:val="none" w:sz="0" w:space="0" w:color="auto"/>
          </w:divBdr>
        </w:div>
        <w:div w:id="3363666">
          <w:marLeft w:val="0"/>
          <w:marRight w:val="0"/>
          <w:marTop w:val="0"/>
          <w:marBottom w:val="0"/>
          <w:divBdr>
            <w:top w:val="none" w:sz="0" w:space="0" w:color="auto"/>
            <w:left w:val="none" w:sz="0" w:space="0" w:color="auto"/>
            <w:bottom w:val="none" w:sz="0" w:space="0" w:color="auto"/>
            <w:right w:val="none" w:sz="0" w:space="0" w:color="auto"/>
          </w:divBdr>
        </w:div>
        <w:div w:id="485435325">
          <w:marLeft w:val="0"/>
          <w:marRight w:val="0"/>
          <w:marTop w:val="0"/>
          <w:marBottom w:val="0"/>
          <w:divBdr>
            <w:top w:val="none" w:sz="0" w:space="0" w:color="auto"/>
            <w:left w:val="none" w:sz="0" w:space="0" w:color="auto"/>
            <w:bottom w:val="none" w:sz="0" w:space="0" w:color="auto"/>
            <w:right w:val="none" w:sz="0" w:space="0" w:color="auto"/>
          </w:divBdr>
        </w:div>
        <w:div w:id="12272757">
          <w:marLeft w:val="0"/>
          <w:marRight w:val="0"/>
          <w:marTop w:val="0"/>
          <w:marBottom w:val="0"/>
          <w:divBdr>
            <w:top w:val="none" w:sz="0" w:space="0" w:color="auto"/>
            <w:left w:val="none" w:sz="0" w:space="0" w:color="auto"/>
            <w:bottom w:val="none" w:sz="0" w:space="0" w:color="auto"/>
            <w:right w:val="none" w:sz="0" w:space="0" w:color="auto"/>
          </w:divBdr>
        </w:div>
        <w:div w:id="1486357158">
          <w:marLeft w:val="0"/>
          <w:marRight w:val="0"/>
          <w:marTop w:val="0"/>
          <w:marBottom w:val="0"/>
          <w:divBdr>
            <w:top w:val="none" w:sz="0" w:space="0" w:color="auto"/>
            <w:left w:val="none" w:sz="0" w:space="0" w:color="auto"/>
            <w:bottom w:val="none" w:sz="0" w:space="0" w:color="auto"/>
            <w:right w:val="none" w:sz="0" w:space="0" w:color="auto"/>
          </w:divBdr>
        </w:div>
        <w:div w:id="638533140">
          <w:marLeft w:val="0"/>
          <w:marRight w:val="0"/>
          <w:marTop w:val="0"/>
          <w:marBottom w:val="0"/>
          <w:divBdr>
            <w:top w:val="none" w:sz="0" w:space="0" w:color="auto"/>
            <w:left w:val="none" w:sz="0" w:space="0" w:color="auto"/>
            <w:bottom w:val="none" w:sz="0" w:space="0" w:color="auto"/>
            <w:right w:val="none" w:sz="0" w:space="0" w:color="auto"/>
          </w:divBdr>
        </w:div>
        <w:div w:id="310329943">
          <w:marLeft w:val="0"/>
          <w:marRight w:val="0"/>
          <w:marTop w:val="0"/>
          <w:marBottom w:val="0"/>
          <w:divBdr>
            <w:top w:val="none" w:sz="0" w:space="0" w:color="auto"/>
            <w:left w:val="none" w:sz="0" w:space="0" w:color="auto"/>
            <w:bottom w:val="none" w:sz="0" w:space="0" w:color="auto"/>
            <w:right w:val="none" w:sz="0" w:space="0" w:color="auto"/>
          </w:divBdr>
        </w:div>
        <w:div w:id="261840003">
          <w:marLeft w:val="0"/>
          <w:marRight w:val="0"/>
          <w:marTop w:val="0"/>
          <w:marBottom w:val="0"/>
          <w:divBdr>
            <w:top w:val="none" w:sz="0" w:space="0" w:color="auto"/>
            <w:left w:val="none" w:sz="0" w:space="0" w:color="auto"/>
            <w:bottom w:val="none" w:sz="0" w:space="0" w:color="auto"/>
            <w:right w:val="none" w:sz="0" w:space="0" w:color="auto"/>
          </w:divBdr>
        </w:div>
        <w:div w:id="740450588">
          <w:marLeft w:val="0"/>
          <w:marRight w:val="0"/>
          <w:marTop w:val="0"/>
          <w:marBottom w:val="0"/>
          <w:divBdr>
            <w:top w:val="none" w:sz="0" w:space="0" w:color="auto"/>
            <w:left w:val="none" w:sz="0" w:space="0" w:color="auto"/>
            <w:bottom w:val="none" w:sz="0" w:space="0" w:color="auto"/>
            <w:right w:val="none" w:sz="0" w:space="0" w:color="auto"/>
          </w:divBdr>
        </w:div>
        <w:div w:id="307712864">
          <w:marLeft w:val="0"/>
          <w:marRight w:val="0"/>
          <w:marTop w:val="0"/>
          <w:marBottom w:val="0"/>
          <w:divBdr>
            <w:top w:val="none" w:sz="0" w:space="0" w:color="auto"/>
            <w:left w:val="none" w:sz="0" w:space="0" w:color="auto"/>
            <w:bottom w:val="none" w:sz="0" w:space="0" w:color="auto"/>
            <w:right w:val="none" w:sz="0" w:space="0" w:color="auto"/>
          </w:divBdr>
        </w:div>
        <w:div w:id="598609417">
          <w:marLeft w:val="0"/>
          <w:marRight w:val="0"/>
          <w:marTop w:val="0"/>
          <w:marBottom w:val="0"/>
          <w:divBdr>
            <w:top w:val="none" w:sz="0" w:space="0" w:color="auto"/>
            <w:left w:val="none" w:sz="0" w:space="0" w:color="auto"/>
            <w:bottom w:val="none" w:sz="0" w:space="0" w:color="auto"/>
            <w:right w:val="none" w:sz="0" w:space="0" w:color="auto"/>
          </w:divBdr>
        </w:div>
        <w:div w:id="9648624">
          <w:marLeft w:val="0"/>
          <w:marRight w:val="0"/>
          <w:marTop w:val="0"/>
          <w:marBottom w:val="0"/>
          <w:divBdr>
            <w:top w:val="none" w:sz="0" w:space="0" w:color="auto"/>
            <w:left w:val="none" w:sz="0" w:space="0" w:color="auto"/>
            <w:bottom w:val="none" w:sz="0" w:space="0" w:color="auto"/>
            <w:right w:val="none" w:sz="0" w:space="0" w:color="auto"/>
          </w:divBdr>
        </w:div>
      </w:divsChild>
    </w:div>
    <w:div w:id="125332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WZ7040</dc:creator>
  <cp:keywords/>
  <dc:description/>
  <cp:lastModifiedBy>WZ7040</cp:lastModifiedBy>
  <cp:revision>2</cp:revision>
  <dcterms:created xsi:type="dcterms:W3CDTF">2017-09-25T06:01:00Z</dcterms:created>
  <dcterms:modified xsi:type="dcterms:W3CDTF">2017-09-25T06:02:00Z</dcterms:modified>
</cp:coreProperties>
</file>