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9" w:rsidRDefault="00D91231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省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一流本科国际化课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程申报书</w:t>
      </w:r>
    </w:p>
    <w:p w:rsidR="00607729" w:rsidRDefault="00D91231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2022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年）</w:t>
      </w:r>
    </w:p>
    <w:p w:rsidR="00607729" w:rsidRDefault="00607729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07729" w:rsidRDefault="00607729">
      <w:pPr>
        <w:spacing w:line="600" w:lineRule="exact"/>
        <w:ind w:right="28"/>
        <w:rPr>
          <w:rFonts w:ascii="黑体" w:eastAsia="黑体" w:hAnsi="黑体"/>
          <w:sz w:val="32"/>
          <w:szCs w:val="36"/>
          <w:u w:val="single"/>
        </w:rPr>
      </w:pP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>
        <w:rPr>
          <w:rFonts w:ascii="黑体" w:eastAsia="黑体" w:hAnsi="黑体" w:hint="eastAsia"/>
          <w:color w:val="000000"/>
          <w:sz w:val="32"/>
          <w:szCs w:val="36"/>
        </w:rPr>
        <w:t>名称(中文)：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 xml:space="preserve">        (英文)：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07729" w:rsidRDefault="00D91231">
      <w:pPr>
        <w:spacing w:line="600" w:lineRule="exact"/>
        <w:ind w:right="28" w:firstLineChars="400" w:firstLine="128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线上一流课程</w:t>
      </w:r>
    </w:p>
    <w:p w:rsidR="00607729" w:rsidRDefault="00D91231">
      <w:pPr>
        <w:spacing w:line="600" w:lineRule="exact"/>
        <w:ind w:right="28"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607729" w:rsidRDefault="00D9123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607729" w:rsidRDefault="00D91231">
      <w:pPr>
        <w:spacing w:line="360" w:lineRule="auto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学校推荐序号：</w:t>
      </w:r>
      <w:r>
        <w:rPr>
          <w:rFonts w:ascii="黑体" w:eastAsia="黑体" w:hAnsi="黑体" w:hint="eastAsia"/>
          <w:sz w:val="32"/>
          <w:szCs w:val="36"/>
        </w:rPr>
        <w:t xml:space="preserve">            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607729" w:rsidRDefault="00D9123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:rsidR="00607729" w:rsidRDefault="00D91231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07729" w:rsidRDefault="00D9123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607729" w:rsidRDefault="00D91231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607729" w:rsidRDefault="00607729"/>
    <w:p w:rsidR="00607729" w:rsidRDefault="00607729">
      <w:pPr>
        <w:widowControl/>
        <w:jc w:val="center"/>
      </w:pPr>
    </w:p>
    <w:p w:rsidR="00607729" w:rsidRDefault="00607729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607729" w:rsidRDefault="00D9123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607729" w:rsidRDefault="0060772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07729" w:rsidRDefault="00D9123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每门课程根据已开设两学期的实际情况，只能从“线上一流课程”“线下一流课程”“线上线下混合式一流课程”中选择一类进行申报。</w:t>
      </w:r>
    </w:p>
    <w:p w:rsidR="00607729" w:rsidRDefault="00D9123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607729" w:rsidRDefault="00D9123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07729" w:rsidRDefault="00D91231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CA29A2" w:rsidRDefault="00CA29A2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br w:type="page"/>
      </w:r>
    </w:p>
    <w:p w:rsidR="00607729" w:rsidRDefault="00D91231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一、课程基本信息</w:t>
      </w:r>
    </w:p>
    <w:p w:rsidR="00607729" w:rsidRDefault="00D91231">
      <w:pPr>
        <w:rPr>
          <w:rFonts w:ascii="黑体" w:eastAsia="楷体" w:hAnsi="黑体"/>
          <w:sz w:val="24"/>
        </w:rPr>
      </w:pPr>
      <w:r>
        <w:rPr>
          <w:rFonts w:ascii="楷体" w:eastAsia="楷体" w:hAnsi="楷体" w:hint="eastAsia"/>
          <w:b/>
          <w:sz w:val="24"/>
        </w:rPr>
        <w:t>（一）线上一流课程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174"/>
      </w:tblGrid>
      <w:tr w:rsidR="00607729">
        <w:trPr>
          <w:trHeight w:val="497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42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课程编码+选课编码（教务系统中的编码）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52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174" w:type="dxa"/>
          </w:tcPr>
          <w:p w:rsidR="00607729" w:rsidRDefault="00D91231">
            <w:pPr>
              <w:spacing w:line="3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</w:tr>
      <w:tr w:rsidR="00607729">
        <w:trPr>
          <w:trHeight w:val="464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07729">
        <w:trPr>
          <w:trHeight w:val="49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6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6174" w:type="dxa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659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○面向社会和学校开放</w:t>
            </w:r>
          </w:p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○仅对本校（机构）组织的学习者开放</w:t>
            </w:r>
          </w:p>
        </w:tc>
      </w:tr>
      <w:tr w:rsidR="00607729">
        <w:trPr>
          <w:trHeight w:val="570"/>
        </w:trPr>
        <w:tc>
          <w:tcPr>
            <w:tcW w:w="2580" w:type="dxa"/>
            <w:vMerge w:val="restart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607729" w:rsidRDefault="00D9123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主要开课平台：</w:t>
            </w:r>
          </w:p>
        </w:tc>
      </w:tr>
      <w:tr w:rsidR="00607729">
        <w:trPr>
          <w:trHeight w:val="550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07729" w:rsidRDefault="00D9123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其他开课平台：</w:t>
            </w:r>
          </w:p>
        </w:tc>
      </w:tr>
      <w:tr w:rsidR="00607729">
        <w:trPr>
          <w:trHeight w:val="90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447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562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6174" w:type="dxa"/>
            <w:vAlign w:val="center"/>
          </w:tcPr>
          <w:p w:rsidR="00607729" w:rsidRDefault="00D91231">
            <w:pPr>
              <w:spacing w:line="3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日；</w:t>
            </w:r>
          </w:p>
        </w:tc>
      </w:tr>
      <w:tr w:rsidR="00607729">
        <w:trPr>
          <w:trHeight w:val="562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525"/>
        </w:trPr>
        <w:tc>
          <w:tcPr>
            <w:tcW w:w="2580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课程链接（近期最优的一期，省平台课程无需填写）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07729" w:rsidRDefault="00607729">
      <w:pPr>
        <w:rPr>
          <w:rFonts w:ascii="楷体" w:eastAsia="楷体" w:hAnsi="楷体"/>
          <w:b/>
          <w:color w:val="0000FF"/>
          <w:sz w:val="24"/>
        </w:rPr>
      </w:pPr>
    </w:p>
    <w:p w:rsidR="00607729" w:rsidRDefault="00D91231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92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Wingdings 2" w:eastAsia="仿宋_GB2312" w:hAnsi="Wingdings 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    时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360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5905" w:type="dxa"/>
            <w:gridSpan w:val="2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36"/>
        </w:trPr>
        <w:tc>
          <w:tcPr>
            <w:tcW w:w="2617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5905" w:type="dxa"/>
            <w:gridSpan w:val="2"/>
            <w:vAlign w:val="center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</w:tbl>
    <w:p w:rsidR="00607729" w:rsidRDefault="00D9123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607729" w:rsidRDefault="00D91231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83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Wingdings 2" w:eastAsia="仿宋_GB2312" w:hAnsi="Wingdings 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5896" w:type="dxa"/>
            <w:gridSpan w:val="2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Merge w:val="restart"/>
            <w:vAlign w:val="center"/>
          </w:tcPr>
          <w:p w:rsidR="00607729" w:rsidRDefault="00D9123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D9123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607729" w:rsidRDefault="00D9123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607729" w:rsidRDefault="00607729">
      <w:pPr>
        <w:rPr>
          <w:rFonts w:ascii="黑体" w:eastAsia="黑体" w:hAnsi="黑体"/>
          <w:sz w:val="24"/>
        </w:rPr>
      </w:pPr>
    </w:p>
    <w:p w:rsidR="00607729" w:rsidRDefault="00607729">
      <w:pPr>
        <w:rPr>
          <w:rFonts w:ascii="黑体" w:eastAsia="黑体" w:hAnsi="黑体"/>
          <w:sz w:val="24"/>
        </w:rPr>
      </w:pPr>
    </w:p>
    <w:p w:rsidR="00607729" w:rsidRDefault="00607729">
      <w:pPr>
        <w:rPr>
          <w:rFonts w:ascii="黑体" w:eastAsia="黑体" w:hAnsi="黑体"/>
          <w:sz w:val="24"/>
        </w:rPr>
      </w:pPr>
    </w:p>
    <w:p w:rsidR="00607729" w:rsidRDefault="00607729">
      <w:pPr>
        <w:rPr>
          <w:rFonts w:ascii="黑体" w:eastAsia="黑体" w:hAnsi="黑体"/>
          <w:sz w:val="24"/>
        </w:rPr>
      </w:pPr>
    </w:p>
    <w:p w:rsidR="00607729" w:rsidRDefault="00607729">
      <w:pPr>
        <w:rPr>
          <w:rFonts w:ascii="黑体" w:eastAsia="黑体" w:hAnsi="黑体"/>
          <w:sz w:val="24"/>
        </w:rPr>
      </w:pPr>
    </w:p>
    <w:p w:rsidR="00607729" w:rsidRDefault="00D91231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07729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07729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07729" w:rsidRDefault="00D9123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D9123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D9123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D9123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D9123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D9123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7729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9" w:rsidRDefault="00D912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60772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07729" w:rsidRDefault="00D91231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607729" w:rsidRDefault="0060772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  <w:tr w:rsidR="0060772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07729" w:rsidRDefault="00D9123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课程负责人近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年从事外国留学生培养及管理工作</w:t>
            </w:r>
            <w:r>
              <w:rPr>
                <w:rFonts w:eastAsia="仿宋_GB2312"/>
                <w:sz w:val="24"/>
              </w:rPr>
              <w:t>经历</w:t>
            </w:r>
            <w:r>
              <w:rPr>
                <w:rFonts w:eastAsia="仿宋_GB2312" w:hint="eastAsia"/>
                <w:sz w:val="24"/>
              </w:rPr>
              <w:t>。（需罗列具体授课信息或留学生管理岗位经历）</w:t>
            </w: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黑体" w:eastAsia="黑体" w:hAnsi="黑体" w:cs="黑体"/>
          <w:sz w:val="24"/>
        </w:rPr>
      </w:pPr>
    </w:p>
    <w:p w:rsidR="00607729" w:rsidRDefault="00607729">
      <w:pPr>
        <w:spacing w:line="340" w:lineRule="atLeast"/>
        <w:rPr>
          <w:rFonts w:ascii="黑体" w:eastAsia="黑体" w:hAnsi="黑体" w:cs="黑体"/>
          <w:sz w:val="24"/>
        </w:rPr>
      </w:pPr>
    </w:p>
    <w:p w:rsidR="00607729" w:rsidRDefault="00D91231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61"/>
        </w:trPr>
        <w:tc>
          <w:tcPr>
            <w:tcW w:w="8522" w:type="dxa"/>
          </w:tcPr>
          <w:p w:rsidR="00607729" w:rsidRDefault="00D91231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07729" w:rsidRDefault="00D91231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四、课程</w:t>
      </w:r>
      <w:proofErr w:type="gramStart"/>
      <w:r>
        <w:rPr>
          <w:rFonts w:ascii="黑体" w:eastAsia="黑体" w:hAnsi="黑体" w:cs="黑体" w:hint="eastAsia"/>
          <w:sz w:val="24"/>
        </w:rPr>
        <w:t>思政实施</w:t>
      </w:r>
      <w:proofErr w:type="gramEnd"/>
      <w:r>
        <w:rPr>
          <w:rFonts w:ascii="黑体" w:eastAsia="黑体" w:hAnsi="黑体" w:cs="黑体" w:hint="eastAsia"/>
          <w:sz w:val="24"/>
        </w:rPr>
        <w:t>情况（300字以内）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2665"/>
        </w:trPr>
        <w:tc>
          <w:tcPr>
            <w:tcW w:w="8522" w:type="dxa"/>
          </w:tcPr>
          <w:p w:rsidR="00607729" w:rsidRDefault="00D91231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（本课程蕴含</w:t>
            </w:r>
            <w:r>
              <w:rPr>
                <w:rFonts w:eastAsia="仿宋_GB2312" w:hint="eastAsia"/>
                <w:sz w:val="24"/>
              </w:rPr>
              <w:t>针对外国留学生培养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的育人元素，以及育人元素于课程教学的切入点及其实施路径。）</w:t>
            </w: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黑体" w:eastAsia="黑体" w:hAnsi="黑体" w:cs="黑体"/>
          <w:sz w:val="24"/>
        </w:rPr>
      </w:pPr>
    </w:p>
    <w:p w:rsidR="00607729" w:rsidRDefault="00607729">
      <w:pPr>
        <w:spacing w:line="340" w:lineRule="atLeast"/>
        <w:rPr>
          <w:rFonts w:ascii="黑体" w:eastAsia="黑体" w:hAnsi="黑体" w:cs="黑体"/>
          <w:sz w:val="24"/>
        </w:rPr>
      </w:pPr>
    </w:p>
    <w:p w:rsidR="00607729" w:rsidRDefault="00D91231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D9123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D9123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607729" w:rsidRDefault="00607729">
            <w:pPr>
              <w:spacing w:line="340" w:lineRule="atLeast"/>
              <w:rPr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sz w:val="24"/>
              </w:rPr>
            </w:pPr>
          </w:p>
        </w:tc>
      </w:tr>
    </w:tbl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D91231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八、附件材料清单（线上一流课程不需要提供附件材料）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0"/>
        </w:trPr>
        <w:tc>
          <w:tcPr>
            <w:tcW w:w="8522" w:type="dxa"/>
          </w:tcPr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607729" w:rsidRDefault="00D91231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的教学日历（必须提供）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的测验、考试（考核）及答案（成果等）（必须提供）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学生成绩分布统计（必须提供）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的学生在线学习数据（仅混合式课程必须提供）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学生评教结果统计（选择性提供）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必须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:rsidR="00607729" w:rsidRDefault="00D91231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607729" w:rsidRDefault="00D91231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607729" w:rsidRDefault="00D91231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607729" w:rsidRDefault="00D91231">
      <w:pPr>
        <w:pStyle w:val="Style2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2461"/>
        </w:trPr>
        <w:tc>
          <w:tcPr>
            <w:tcW w:w="8522" w:type="dxa"/>
          </w:tcPr>
          <w:p w:rsidR="00607729" w:rsidRDefault="00D9123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07729" w:rsidRDefault="00D9123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607729" w:rsidRDefault="00D9123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D91231">
      <w:pPr>
        <w:pStyle w:val="Style20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十、教务部门意见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2461"/>
        </w:trPr>
        <w:tc>
          <w:tcPr>
            <w:tcW w:w="8522" w:type="dxa"/>
          </w:tcPr>
          <w:p w:rsidR="00607729" w:rsidRDefault="00D9123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兹证明该课程负责人所申报的从事外国留学生培养及管理的工作</w:t>
            </w:r>
            <w:r>
              <w:rPr>
                <w:rFonts w:ascii="仿宋_GB2312" w:eastAsia="仿宋_GB2312" w:hAnsi="仿宋"/>
                <w:sz w:val="24"/>
              </w:rPr>
              <w:t>经历</w:t>
            </w:r>
            <w:r>
              <w:rPr>
                <w:rFonts w:ascii="仿宋_GB2312" w:eastAsia="仿宋_GB2312" w:hAnsi="仿宋" w:hint="eastAsia"/>
                <w:sz w:val="24"/>
              </w:rPr>
              <w:t>属实。</w:t>
            </w:r>
          </w:p>
          <w:p w:rsidR="00607729" w:rsidRDefault="00D91231">
            <w:pPr>
              <w:adjustRightInd w:val="0"/>
              <w:snapToGrid w:val="0"/>
              <w:spacing w:line="400" w:lineRule="atLeast"/>
              <w:ind w:right="370"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4"/>
              </w:rPr>
              <w:t>学校教务（盖章）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</w:t>
            </w:r>
          </w:p>
          <w:p w:rsidR="00607729" w:rsidRDefault="00D9123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十一、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0"/>
        </w:trPr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607729" w:rsidRDefault="00D91231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607729" w:rsidRDefault="00D91231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十二</w:t>
      </w:r>
      <w:r>
        <w:rPr>
          <w:rFonts w:ascii="黑体" w:eastAsia="黑体" w:hAnsi="黑体" w:cs="黑体" w:hint="eastAsia"/>
          <w:sz w:val="24"/>
          <w:szCs w:val="24"/>
        </w:rPr>
        <w:t>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07729" w:rsidRDefault="00D91231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07729" w:rsidRDefault="00D91231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07729" w:rsidRDefault="00607729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7729" w:rsidRDefault="00D91231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607729" w:rsidRDefault="00D91231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07729" w:rsidRDefault="00D91231">
      <w:pPr>
        <w:pStyle w:val="Style2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十三、申报学校承诺意见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 w:rsidTr="00CA29A2">
        <w:trPr>
          <w:trHeight w:val="4437"/>
        </w:trPr>
        <w:tc>
          <w:tcPr>
            <w:tcW w:w="8522" w:type="dxa"/>
          </w:tcPr>
          <w:p w:rsidR="00607729" w:rsidRDefault="00607729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07729" w:rsidRDefault="00D9123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07729" w:rsidRDefault="00D91231" w:rsidP="00CA29A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省级一流本科国际化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  <w:bookmarkStart w:id="0" w:name="_GoBack"/>
            <w:bookmarkEnd w:id="0"/>
          </w:p>
          <w:p w:rsidR="00607729" w:rsidRDefault="00D91231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607729" w:rsidRDefault="00D91231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607729" w:rsidRDefault="00D91231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07729" w:rsidRDefault="00607729" w:rsidP="00CA29A2">
      <w:pPr>
        <w:spacing w:line="480" w:lineRule="auto"/>
        <w:ind w:right="28"/>
        <w:rPr>
          <w:rFonts w:ascii="Times New Roman" w:hAnsi="Times New Roman"/>
        </w:rPr>
      </w:pPr>
    </w:p>
    <w:sectPr w:rsidR="006077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6D" w:rsidRDefault="00625A6D">
      <w:r>
        <w:separator/>
      </w:r>
    </w:p>
  </w:endnote>
  <w:endnote w:type="continuationSeparator" w:id="0">
    <w:p w:rsidR="00625A6D" w:rsidRDefault="0062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9" w:rsidRDefault="00E947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29" w:rsidRDefault="00D9123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29A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607729" w:rsidRDefault="00D9123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29A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6D" w:rsidRDefault="00625A6D">
      <w:r>
        <w:separator/>
      </w:r>
    </w:p>
  </w:footnote>
  <w:footnote w:type="continuationSeparator" w:id="0">
    <w:p w:rsidR="00625A6D" w:rsidRDefault="0062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27F"/>
    <w:multiLevelType w:val="multilevel"/>
    <w:tmpl w:val="5DDD227F"/>
    <w:lvl w:ilvl="0">
      <w:start w:val="1"/>
      <w:numFmt w:val="decimal"/>
      <w:lvlText w:val="%1."/>
      <w:lvlJc w:val="left"/>
      <w:pPr>
        <w:ind w:left="1122" w:hanging="212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0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5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2E8DF5"/>
    <w:multiLevelType w:val="singleLevel"/>
    <w:tmpl w:val="7D2E8DF5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77FF1216"/>
    <w:rsid w:val="77FF1216"/>
    <w:rsid w:val="DBAF9184"/>
    <w:rsid w:val="000C08CA"/>
    <w:rsid w:val="00607729"/>
    <w:rsid w:val="00625A6D"/>
    <w:rsid w:val="0071344D"/>
    <w:rsid w:val="00A46BD4"/>
    <w:rsid w:val="00CA29A2"/>
    <w:rsid w:val="00D91231"/>
    <w:rsid w:val="00E9471F"/>
    <w:rsid w:val="055735F1"/>
    <w:rsid w:val="0E334F9D"/>
    <w:rsid w:val="181B41B8"/>
    <w:rsid w:val="3E3921E1"/>
    <w:rsid w:val="48194344"/>
    <w:rsid w:val="580718FB"/>
    <w:rsid w:val="59915EF4"/>
    <w:rsid w:val="671C43E4"/>
    <w:rsid w:val="6E4C07A3"/>
    <w:rsid w:val="6F2B63E5"/>
    <w:rsid w:val="768F805E"/>
    <w:rsid w:val="77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7DAFE"/>
  <w15:docId w15:val="{AEC70308-7C39-4D01-9855-94FB442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nhideWhenUsed/>
    <w:qFormat/>
    <w:pPr>
      <w:ind w:left="1114" w:right="113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1"/>
    <w:qFormat/>
    <w:pPr>
      <w:ind w:left="491" w:hanging="361"/>
    </w:p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浙江省教育厅办公室关于开展2022年省级一流本科课程、省级一流本科国际化课程及首批省级劳动教育一流本科课程（教学团队）认定工作的通知</dc:title>
  <dc:creator>user</dc:creator>
  <cp:lastModifiedBy>Yuan</cp:lastModifiedBy>
  <cp:revision>3</cp:revision>
  <cp:lastPrinted>2022-06-06T02:51:00Z</cp:lastPrinted>
  <dcterms:created xsi:type="dcterms:W3CDTF">2022-06-10T03:17:00Z</dcterms:created>
  <dcterms:modified xsi:type="dcterms:W3CDTF">2022-06-10T03:20:00Z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