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文鼎大标宋简" w:eastAsia="文鼎大标宋简"/>
          <w:b/>
          <w:sz w:val="36"/>
        </w:rPr>
      </w:pPr>
      <w:r>
        <w:rPr>
          <w:rFonts w:hint="eastAsia" w:ascii="文鼎大标宋简" w:eastAsia="文鼎大标宋简"/>
          <w:b/>
          <w:sz w:val="36"/>
        </w:rPr>
        <w:t>浙江大学化学工程与生物工程学院</w:t>
      </w:r>
    </w:p>
    <w:p>
      <w:pPr>
        <w:spacing w:line="520" w:lineRule="exact"/>
        <w:jc w:val="center"/>
        <w:rPr>
          <w:rFonts w:ascii="文鼎大标宋简" w:eastAsia="文鼎大标宋简"/>
          <w:b/>
          <w:kern w:val="2"/>
          <w:sz w:val="36"/>
          <w:szCs w:val="20"/>
        </w:rPr>
      </w:pPr>
      <w:r>
        <w:rPr>
          <w:rFonts w:hint="eastAsia" w:ascii="文鼎大标宋简" w:eastAsia="文鼎大标宋简"/>
          <w:b/>
          <w:sz w:val="36"/>
        </w:rPr>
        <w:t>20</w:t>
      </w:r>
      <w:r>
        <w:rPr>
          <w:rFonts w:ascii="文鼎大标宋简" w:eastAsia="文鼎大标宋简"/>
          <w:b/>
          <w:sz w:val="36"/>
        </w:rPr>
        <w:t>20</w:t>
      </w:r>
      <w:r>
        <w:rPr>
          <w:rFonts w:hint="eastAsia" w:ascii="文鼎大标宋简" w:eastAsia="文鼎大标宋简"/>
          <w:b/>
          <w:sz w:val="36"/>
        </w:rPr>
        <w:t>级本科生主修专业确认实施办法</w:t>
      </w:r>
    </w:p>
    <w:p>
      <w:pPr>
        <w:widowControl w:val="0"/>
        <w:spacing w:line="560" w:lineRule="exact"/>
        <w:ind w:firstLine="600" w:firstLineChars="200"/>
        <w:jc w:val="both"/>
        <w:rPr>
          <w:rFonts w:eastAsia="仿宋_GB2312"/>
          <w:kern w:val="2"/>
          <w:sz w:val="30"/>
          <w:szCs w:val="20"/>
        </w:rPr>
      </w:pPr>
    </w:p>
    <w:p>
      <w:pPr>
        <w:widowControl w:val="0"/>
        <w:spacing w:line="245" w:lineRule="auto"/>
        <w:ind w:firstLine="560" w:firstLineChars="200"/>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为进一步贯彻学校</w:t>
      </w:r>
      <w:r>
        <w:rPr>
          <w:rStyle w:val="9"/>
          <w:rFonts w:hint="eastAsia" w:asciiTheme="minorEastAsia" w:hAnsiTheme="minorEastAsia" w:eastAsiaTheme="minorEastAsia"/>
          <w:color w:val="000000"/>
          <w:sz w:val="28"/>
          <w:szCs w:val="28"/>
        </w:rPr>
        <w:t>“以人为本，整合培养，求是创新，追求卓越”的教育理念，充分调动学生学习的自主性，满足学生个性化学习的要求，特制定</w:t>
      </w:r>
      <w:r>
        <w:rPr>
          <w:rFonts w:hint="eastAsia" w:asciiTheme="minorEastAsia" w:hAnsiTheme="minorEastAsia" w:eastAsiaTheme="minorEastAsia"/>
          <w:sz w:val="28"/>
          <w:szCs w:val="28"/>
        </w:rPr>
        <w:t>20</w:t>
      </w:r>
      <w:r>
        <w:rPr>
          <w:rFonts w:asciiTheme="minorEastAsia" w:hAnsiTheme="minorEastAsia" w:eastAsiaTheme="minorEastAsia"/>
          <w:sz w:val="28"/>
          <w:szCs w:val="28"/>
        </w:rPr>
        <w:t>20</w:t>
      </w:r>
      <w:r>
        <w:rPr>
          <w:rFonts w:hint="eastAsia" w:asciiTheme="minorEastAsia" w:hAnsiTheme="minorEastAsia" w:eastAsiaTheme="minorEastAsia"/>
          <w:sz w:val="28"/>
          <w:szCs w:val="28"/>
        </w:rPr>
        <w:t>级本科生主修专业确认实施办法如下：</w:t>
      </w:r>
    </w:p>
    <w:p>
      <w:pPr>
        <w:widowControl w:val="0"/>
        <w:numPr>
          <w:ilvl w:val="0"/>
          <w:numId w:val="1"/>
        </w:numPr>
        <w:spacing w:before="120" w:beforeLines="50" w:line="245" w:lineRule="auto"/>
        <w:ind w:left="1321"/>
        <w:jc w:val="both"/>
        <w:rPr>
          <w:rFonts w:asciiTheme="minorEastAsia" w:hAnsiTheme="minorEastAsia" w:eastAsiaTheme="minorEastAsia"/>
          <w:b/>
          <w:kern w:val="2"/>
          <w:sz w:val="28"/>
          <w:szCs w:val="28"/>
        </w:rPr>
      </w:pPr>
      <w:r>
        <w:rPr>
          <w:rFonts w:hint="eastAsia" w:asciiTheme="minorEastAsia" w:hAnsiTheme="minorEastAsia" w:eastAsiaTheme="minorEastAsia"/>
          <w:b/>
          <w:kern w:val="2"/>
          <w:sz w:val="28"/>
          <w:szCs w:val="28"/>
        </w:rPr>
        <w:t>基本原则</w:t>
      </w:r>
    </w:p>
    <w:p>
      <w:pPr>
        <w:widowControl w:val="0"/>
        <w:spacing w:before="120" w:beforeLines="50" w:line="245" w:lineRule="auto"/>
        <w:ind w:firstLine="560" w:firstLineChars="200"/>
        <w:jc w:val="both"/>
        <w:rPr>
          <w:rFonts w:asciiTheme="minorEastAsia" w:hAnsiTheme="minorEastAsia" w:eastAsiaTheme="minorEastAsia"/>
          <w:sz w:val="28"/>
          <w:szCs w:val="28"/>
        </w:rPr>
      </w:pPr>
      <w:r>
        <w:rPr>
          <w:rFonts w:hint="eastAsia" w:asciiTheme="minorEastAsia" w:hAnsiTheme="minorEastAsia" w:eastAsiaTheme="minorEastAsia"/>
          <w:sz w:val="28"/>
          <w:szCs w:val="28"/>
        </w:rPr>
        <w:t>坚持公平、公正、公开的原则。主修专业确认工作，在学院主修专业确认领导小组领导下，由学院主修专业确认工作小组依据学生志愿和综合面试情况，本着公平、公正的原则进行确认。学院主修专业确认工作组织机构、确认流程以及</w:t>
      </w:r>
      <w:r>
        <w:rPr>
          <w:rFonts w:hint="eastAsia" w:cs="仿宋_GB2312" w:asciiTheme="minorEastAsia" w:hAnsiTheme="minorEastAsia" w:eastAsiaTheme="minorEastAsia"/>
          <w:sz w:val="28"/>
          <w:szCs w:val="28"/>
        </w:rPr>
        <w:t>专业基本容量和扩容率等提前</w:t>
      </w:r>
      <w:r>
        <w:rPr>
          <w:rFonts w:hint="eastAsia" w:asciiTheme="minorEastAsia" w:hAnsiTheme="minorEastAsia" w:eastAsiaTheme="minorEastAsia"/>
          <w:sz w:val="28"/>
          <w:szCs w:val="28"/>
        </w:rPr>
        <w:t>网上公布。</w:t>
      </w:r>
    </w:p>
    <w:p>
      <w:pPr>
        <w:widowControl w:val="0"/>
        <w:numPr>
          <w:ilvl w:val="0"/>
          <w:numId w:val="1"/>
        </w:numPr>
        <w:spacing w:before="120" w:beforeLines="50" w:line="245" w:lineRule="auto"/>
        <w:ind w:left="1321"/>
        <w:jc w:val="both"/>
        <w:rPr>
          <w:rFonts w:asciiTheme="minorEastAsia" w:hAnsiTheme="minorEastAsia" w:eastAsiaTheme="minorEastAsia"/>
          <w:b/>
          <w:kern w:val="2"/>
          <w:sz w:val="28"/>
          <w:szCs w:val="28"/>
        </w:rPr>
      </w:pPr>
      <w:r>
        <w:rPr>
          <w:rFonts w:hint="eastAsia" w:asciiTheme="minorEastAsia" w:hAnsiTheme="minorEastAsia" w:eastAsiaTheme="minorEastAsia"/>
          <w:b/>
          <w:kern w:val="2"/>
          <w:sz w:val="28"/>
          <w:szCs w:val="28"/>
        </w:rPr>
        <w:t>组织保障</w:t>
      </w:r>
    </w:p>
    <w:p>
      <w:pPr>
        <w:pStyle w:val="2"/>
        <w:spacing w:before="120" w:beforeLines="50" w:line="245" w:lineRule="auto"/>
        <w:ind w:firstLine="539"/>
        <w:rPr>
          <w:rFonts w:asciiTheme="minorEastAsia" w:hAnsiTheme="minorEastAsia" w:eastAsiaTheme="minorEastAsia"/>
          <w:sz w:val="28"/>
          <w:szCs w:val="28"/>
        </w:rPr>
      </w:pPr>
      <w:r>
        <w:rPr>
          <w:rFonts w:hint="eastAsia" w:asciiTheme="minorEastAsia" w:hAnsiTheme="minorEastAsia" w:eastAsiaTheme="minorEastAsia"/>
          <w:sz w:val="28"/>
          <w:szCs w:val="28"/>
        </w:rPr>
        <w:t>为确保该项工作顺利进行，学院分别成立本科生主修专业确认工作领导小组及工作小组，负责统筹协调以及具体执行本科生主修专业确认工作。各小组具体名单如下：</w:t>
      </w:r>
    </w:p>
    <w:p>
      <w:pPr>
        <w:pStyle w:val="2"/>
        <w:spacing w:line="245" w:lineRule="auto"/>
        <w:rPr>
          <w:rFonts w:asciiTheme="minorEastAsia" w:hAnsiTheme="minorEastAsia" w:eastAsiaTheme="minorEastAsia"/>
          <w:sz w:val="28"/>
          <w:szCs w:val="28"/>
        </w:rPr>
      </w:pPr>
      <w:r>
        <w:rPr>
          <w:rFonts w:hint="eastAsia" w:asciiTheme="minorEastAsia" w:hAnsiTheme="minorEastAsia" w:eastAsiaTheme="minorEastAsia"/>
          <w:sz w:val="28"/>
          <w:szCs w:val="28"/>
        </w:rPr>
        <w:t>领导小组名单：</w:t>
      </w:r>
    </w:p>
    <w:p>
      <w:pPr>
        <w:pStyle w:val="2"/>
        <w:spacing w:line="245" w:lineRule="auto"/>
        <w:ind w:firstLine="1120" w:firstLineChars="400"/>
        <w:rPr>
          <w:rFonts w:asciiTheme="minorEastAsia" w:hAnsiTheme="minorEastAsia" w:eastAsiaTheme="minorEastAsia"/>
          <w:sz w:val="28"/>
          <w:szCs w:val="28"/>
        </w:rPr>
      </w:pPr>
      <w:r>
        <w:rPr>
          <w:rFonts w:hint="eastAsia" w:asciiTheme="minorEastAsia" w:hAnsiTheme="minorEastAsia" w:eastAsiaTheme="minorEastAsia"/>
          <w:sz w:val="28"/>
          <w:szCs w:val="28"/>
        </w:rPr>
        <w:t>组  长：邢华斌</w:t>
      </w:r>
    </w:p>
    <w:p>
      <w:pPr>
        <w:pStyle w:val="2"/>
        <w:spacing w:line="245" w:lineRule="auto"/>
        <w:ind w:firstLine="1120" w:firstLineChars="400"/>
        <w:rPr>
          <w:rFonts w:asciiTheme="minorEastAsia" w:hAnsiTheme="minorEastAsia" w:eastAsiaTheme="minorEastAsia"/>
          <w:sz w:val="28"/>
          <w:szCs w:val="28"/>
        </w:rPr>
      </w:pPr>
      <w:r>
        <w:rPr>
          <w:rFonts w:hint="eastAsia" w:asciiTheme="minorEastAsia" w:hAnsiTheme="minorEastAsia" w:eastAsiaTheme="minorEastAsia"/>
          <w:sz w:val="28"/>
          <w:szCs w:val="28"/>
        </w:rPr>
        <w:t>副组长：潘鹏举    沈律明</w:t>
      </w:r>
    </w:p>
    <w:p>
      <w:pPr>
        <w:pStyle w:val="2"/>
        <w:spacing w:line="245" w:lineRule="auto"/>
        <w:ind w:firstLine="1120" w:firstLineChars="400"/>
        <w:rPr>
          <w:rFonts w:asciiTheme="minorEastAsia" w:hAnsiTheme="minorEastAsia" w:eastAsiaTheme="minorEastAsia"/>
          <w:sz w:val="28"/>
          <w:szCs w:val="28"/>
        </w:rPr>
      </w:pPr>
      <w:r>
        <w:rPr>
          <w:rFonts w:hint="eastAsia" w:asciiTheme="minorEastAsia" w:hAnsiTheme="minorEastAsia" w:eastAsiaTheme="minorEastAsia"/>
          <w:sz w:val="28"/>
          <w:szCs w:val="28"/>
        </w:rPr>
        <w:t>成  员：本科生教学工作委员会、教学办公室负责老师</w:t>
      </w:r>
    </w:p>
    <w:p>
      <w:pPr>
        <w:pStyle w:val="2"/>
        <w:spacing w:line="245"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工作小组名单：</w:t>
      </w:r>
    </w:p>
    <w:p>
      <w:pPr>
        <w:pStyle w:val="2"/>
        <w:spacing w:line="245" w:lineRule="auto"/>
        <w:ind w:firstLine="1120" w:firstLineChars="400"/>
        <w:rPr>
          <w:rFonts w:asciiTheme="minorEastAsia" w:hAnsiTheme="minorEastAsia" w:eastAsiaTheme="minorEastAsia"/>
          <w:sz w:val="28"/>
          <w:szCs w:val="28"/>
        </w:rPr>
      </w:pPr>
      <w:r>
        <w:rPr>
          <w:rFonts w:hint="eastAsia" w:asciiTheme="minorEastAsia" w:hAnsiTheme="minorEastAsia" w:eastAsiaTheme="minorEastAsia"/>
          <w:sz w:val="28"/>
          <w:szCs w:val="28"/>
        </w:rPr>
        <w:t>组  长：潘鹏举</w:t>
      </w:r>
    </w:p>
    <w:p>
      <w:pPr>
        <w:pStyle w:val="2"/>
        <w:spacing w:line="245" w:lineRule="auto"/>
        <w:ind w:firstLine="1120" w:firstLineChars="400"/>
        <w:rPr>
          <w:rFonts w:asciiTheme="minorEastAsia" w:hAnsiTheme="minorEastAsia" w:eastAsiaTheme="minorEastAsia"/>
          <w:sz w:val="28"/>
          <w:szCs w:val="28"/>
        </w:rPr>
      </w:pPr>
      <w:r>
        <w:rPr>
          <w:rFonts w:hint="eastAsia" w:asciiTheme="minorEastAsia" w:hAnsiTheme="minorEastAsia" w:eastAsiaTheme="minorEastAsia"/>
          <w:sz w:val="28"/>
          <w:szCs w:val="28"/>
        </w:rPr>
        <w:t>副组长：沈律明</w:t>
      </w:r>
    </w:p>
    <w:p>
      <w:pPr>
        <w:pStyle w:val="2"/>
        <w:spacing w:line="245" w:lineRule="auto"/>
        <w:ind w:firstLine="1120" w:firstLineChars="400"/>
        <w:rPr>
          <w:rFonts w:asciiTheme="minorEastAsia" w:hAnsiTheme="minorEastAsia" w:eastAsiaTheme="minorEastAsia"/>
          <w:sz w:val="28"/>
          <w:szCs w:val="28"/>
        </w:rPr>
      </w:pPr>
      <w:r>
        <w:rPr>
          <w:rFonts w:hint="eastAsia" w:asciiTheme="minorEastAsia" w:hAnsiTheme="minorEastAsia" w:eastAsiaTheme="minorEastAsia"/>
          <w:sz w:val="28"/>
          <w:szCs w:val="28"/>
        </w:rPr>
        <w:t>成  员：凌敏、尹红、张才亮、何奕、鲍宗必、叶丽丹、</w:t>
      </w:r>
    </w:p>
    <w:p>
      <w:pPr>
        <w:pStyle w:val="2"/>
        <w:spacing w:line="245" w:lineRule="auto"/>
        <w:ind w:firstLine="2240" w:firstLineChars="800"/>
        <w:rPr>
          <w:rFonts w:asciiTheme="minorEastAsia" w:hAnsiTheme="minorEastAsia" w:eastAsiaTheme="minorEastAsia"/>
          <w:sz w:val="28"/>
          <w:szCs w:val="28"/>
        </w:rPr>
      </w:pPr>
      <w:r>
        <w:rPr>
          <w:rFonts w:hint="eastAsia" w:asciiTheme="minorEastAsia" w:hAnsiTheme="minorEastAsia" w:eastAsiaTheme="minorEastAsia"/>
          <w:sz w:val="28"/>
          <w:szCs w:val="28"/>
        </w:rPr>
        <w:t>王盎然、张红</w:t>
      </w:r>
    </w:p>
    <w:p>
      <w:pPr>
        <w:widowControl w:val="0"/>
        <w:numPr>
          <w:ilvl w:val="0"/>
          <w:numId w:val="1"/>
        </w:numPr>
        <w:spacing w:before="120" w:beforeLines="50" w:line="245" w:lineRule="auto"/>
        <w:ind w:left="1321"/>
        <w:jc w:val="both"/>
        <w:rPr>
          <w:rFonts w:asciiTheme="minorEastAsia" w:hAnsiTheme="minorEastAsia" w:eastAsiaTheme="minorEastAsia"/>
          <w:b/>
          <w:kern w:val="2"/>
          <w:sz w:val="28"/>
          <w:szCs w:val="28"/>
        </w:rPr>
      </w:pPr>
      <w:r>
        <w:rPr>
          <w:rFonts w:hint="eastAsia" w:asciiTheme="minorEastAsia" w:hAnsiTheme="minorEastAsia" w:eastAsiaTheme="minorEastAsia"/>
          <w:b/>
          <w:kern w:val="2"/>
          <w:sz w:val="28"/>
          <w:szCs w:val="28"/>
        </w:rPr>
        <w:t>确认机制</w:t>
      </w:r>
    </w:p>
    <w:p>
      <w:pPr>
        <w:spacing w:line="480" w:lineRule="exact"/>
        <w:ind w:firstLine="600"/>
        <w:rPr>
          <w:rFonts w:asciiTheme="minorEastAsia" w:hAnsiTheme="minorEastAsia" w:eastAsiaTheme="minorEastAsia"/>
          <w:sz w:val="28"/>
          <w:szCs w:val="28"/>
        </w:rPr>
      </w:pPr>
      <w:r>
        <w:rPr>
          <w:rFonts w:asciiTheme="minorEastAsia" w:hAnsiTheme="minorEastAsia" w:eastAsiaTheme="minorEastAsia"/>
          <w:sz w:val="28"/>
          <w:szCs w:val="28"/>
        </w:rPr>
        <w:t>学生需按时在</w:t>
      </w:r>
      <w:r>
        <w:rPr>
          <w:rFonts w:hint="eastAsia" w:asciiTheme="minorEastAsia" w:hAnsiTheme="minorEastAsia" w:eastAsiaTheme="minorEastAsia"/>
          <w:sz w:val="28"/>
          <w:szCs w:val="28"/>
        </w:rPr>
        <w:t>“本科生信息服务平台”</w:t>
      </w:r>
      <w:r>
        <w:rPr>
          <w:sz w:val="28"/>
          <w:szCs w:val="28"/>
        </w:rPr>
        <w:t xml:space="preserve"> (http://zdbk.zju.edu.cn)</w:t>
      </w:r>
      <w:r>
        <w:rPr>
          <w:rFonts w:hint="eastAsia" w:asciiTheme="minorEastAsia" w:hAnsiTheme="minorEastAsia" w:eastAsiaTheme="minorEastAsia"/>
          <w:sz w:val="28"/>
          <w:szCs w:val="28"/>
        </w:rPr>
        <w:t>上</w:t>
      </w:r>
      <w:r>
        <w:rPr>
          <w:rFonts w:asciiTheme="minorEastAsia" w:hAnsiTheme="minorEastAsia" w:eastAsiaTheme="minorEastAsia"/>
          <w:sz w:val="28"/>
          <w:szCs w:val="28"/>
        </w:rPr>
        <w:t>一次性提交申请本大类所有专业的志愿排序</w:t>
      </w:r>
      <w:r>
        <w:rPr>
          <w:rFonts w:hint="eastAsia" w:asciiTheme="minorEastAsia" w:hAnsiTheme="minorEastAsia" w:eastAsiaTheme="minorEastAsia"/>
          <w:sz w:val="28"/>
          <w:szCs w:val="28"/>
        </w:rPr>
        <w:t>，同时提交一份个人陈述（包括兴趣、爱好、特长）。学院按学生申请专业志愿优先级，自前向后分批次、顺序确认学生。</w:t>
      </w:r>
    </w:p>
    <w:p>
      <w:pPr>
        <w:spacing w:line="480" w:lineRule="exact"/>
        <w:ind w:firstLine="600"/>
        <w:rPr>
          <w:rFonts w:asciiTheme="minorEastAsia" w:hAnsiTheme="minorEastAsia" w:eastAsiaTheme="minorEastAsia"/>
          <w:sz w:val="28"/>
          <w:szCs w:val="28"/>
        </w:rPr>
      </w:pPr>
      <w:r>
        <w:rPr>
          <w:rFonts w:hint="eastAsia" w:asciiTheme="minorEastAsia" w:hAnsiTheme="minorEastAsia" w:eastAsiaTheme="minorEastAsia"/>
          <w:sz w:val="28"/>
          <w:szCs w:val="28"/>
        </w:rPr>
        <w:t>1、第一轮类内确认：当学生申请某专业志愿人数累计超过专业容量时，学院组织学生进行化学、物理相关知识的笔试；按专业进行分组面试；由综合成绩（综合成绩=高考相对成绩*50%+笔试成绩*20%+面试成绩*30%）排名确定预接受学生名单；当累计人数低于该专业容量时，申请学生都作为预接受学生，全部进入该专业。</w:t>
      </w:r>
    </w:p>
    <w:p>
      <w:pPr>
        <w:spacing w:line="6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高考相对成绩计算方法如下：</w:t>
      </w:r>
    </w:p>
    <w:p>
      <w:pPr>
        <w:spacing w:line="600" w:lineRule="exact"/>
        <w:ind w:firstLine="3360" w:firstLineChars="1200"/>
        <w:rPr>
          <w:rFonts w:asciiTheme="minorEastAsia" w:hAnsiTheme="minorEastAsia" w:eastAsiaTheme="minorEastAsia"/>
          <w:sz w:val="28"/>
          <w:szCs w:val="28"/>
        </w:rPr>
      </w:pPr>
      <w:r>
        <w:rPr>
          <w:rFonts w:hint="eastAsia" w:asciiTheme="minorEastAsia" w:hAnsiTheme="minorEastAsia" w:eastAsiaTheme="minorEastAsia"/>
          <w:sz w:val="28"/>
          <w:szCs w:val="28"/>
        </w:rPr>
        <w:t>学生高考成绩（文/理）</w:t>
      </w:r>
    </w:p>
    <w:p>
      <w:pPr>
        <w:spacing w:line="600" w:lineRule="exact"/>
        <w:ind w:left="151" w:leftChars="63"/>
        <w:rPr>
          <w:rFonts w:asciiTheme="minorEastAsia" w:hAnsiTheme="minorEastAsia" w:eastAsiaTheme="minorEastAsia"/>
          <w:sz w:val="28"/>
          <w:szCs w:val="28"/>
        </w:rPr>
      </w:pPr>
      <w:r>
        <w:rPr>
          <w:rFonts w:hint="eastAsia" w:asciiTheme="minorEastAsia" w:hAnsiTheme="minorEastAsia" w:eastAsiaTheme="minorEastAsia"/>
          <w:sz w:val="28"/>
          <w:szCs w:val="28"/>
        </w:rPr>
        <w:t>高考相对成绩= —————————————————×100</w:t>
      </w:r>
    </w:p>
    <w:p>
      <w:pPr>
        <w:spacing w:line="600" w:lineRule="exact"/>
        <w:ind w:left="151" w:leftChars="63" w:firstLine="2100" w:firstLineChars="750"/>
        <w:rPr>
          <w:rFonts w:asciiTheme="minorEastAsia" w:hAnsiTheme="minorEastAsia" w:eastAsiaTheme="minorEastAsia"/>
          <w:sz w:val="28"/>
          <w:szCs w:val="28"/>
        </w:rPr>
      </w:pPr>
      <w:r>
        <w:rPr>
          <w:rFonts w:hint="eastAsia" w:asciiTheme="minorEastAsia" w:hAnsiTheme="minorEastAsia" w:eastAsiaTheme="minorEastAsia"/>
          <w:sz w:val="28"/>
          <w:szCs w:val="28"/>
        </w:rPr>
        <w:t>生源地省市的（文/理）最高高考成绩</w:t>
      </w:r>
    </w:p>
    <w:p>
      <w:pPr>
        <w:spacing w:line="6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不分文理的新高考省份以专业组或专业为统计单元。</w:t>
      </w:r>
    </w:p>
    <w:p>
      <w:pPr>
        <w:spacing w:line="480" w:lineRule="exact"/>
        <w:ind w:firstLine="600"/>
        <w:rPr>
          <w:rFonts w:asciiTheme="minorEastAsia" w:hAnsiTheme="minorEastAsia" w:eastAsiaTheme="minorEastAsia"/>
          <w:sz w:val="28"/>
          <w:szCs w:val="28"/>
        </w:rPr>
      </w:pPr>
      <w:r>
        <w:rPr>
          <w:rFonts w:hint="eastAsia" w:asciiTheme="minorEastAsia" w:hAnsiTheme="minorEastAsia" w:eastAsiaTheme="minorEastAsia"/>
          <w:sz w:val="28"/>
          <w:szCs w:val="28"/>
        </w:rPr>
        <w:t>面试按专业分组进行，面试专家组由各专业教师组成。面试组中去掉一个最高分和一个最低分后取平均分后取得。</w:t>
      </w:r>
    </w:p>
    <w:p>
      <w:pPr>
        <w:spacing w:line="6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hint="eastAsia" w:asciiTheme="minorEastAsia" w:hAnsiTheme="minorEastAsia" w:eastAsiaTheme="minorEastAsia"/>
          <w:kern w:val="2"/>
          <w:sz w:val="28"/>
          <w:szCs w:val="28"/>
        </w:rPr>
        <w:t>2.第二</w:t>
      </w:r>
      <w:r>
        <w:rPr>
          <w:rFonts w:hint="eastAsia" w:asciiTheme="minorEastAsia" w:hAnsiTheme="minorEastAsia" w:eastAsiaTheme="minorEastAsia"/>
          <w:sz w:val="28"/>
          <w:szCs w:val="28"/>
        </w:rPr>
        <w:t>轮跨类确认：当学生申请某专业志愿人数累计超过某</w:t>
      </w:r>
      <w:r>
        <w:rPr>
          <w:rFonts w:asciiTheme="minorEastAsia" w:hAnsiTheme="minorEastAsia" w:eastAsiaTheme="minorEastAsia"/>
          <w:sz w:val="28"/>
          <w:szCs w:val="28"/>
        </w:rPr>
        <w:t>专业容量</w:t>
      </w:r>
      <w:r>
        <w:rPr>
          <w:rFonts w:hint="eastAsia" w:asciiTheme="minorEastAsia" w:hAnsiTheme="minorEastAsia" w:eastAsiaTheme="minorEastAsia"/>
          <w:sz w:val="28"/>
          <w:szCs w:val="28"/>
        </w:rPr>
        <w:t>且超过第二轮专业容量时，学院组织对类内预确认后增加的学生进行面试、筛选、累计</w:t>
      </w:r>
      <w:r>
        <w:rPr>
          <w:rFonts w:asciiTheme="minorEastAsia" w:hAnsiTheme="minorEastAsia" w:eastAsiaTheme="minorEastAsia"/>
          <w:sz w:val="28"/>
          <w:szCs w:val="28"/>
        </w:rPr>
        <w:t>；</w:t>
      </w:r>
      <w:r>
        <w:rPr>
          <w:rFonts w:hint="eastAsia" w:asciiTheme="minorEastAsia" w:hAnsiTheme="minorEastAsia" w:eastAsiaTheme="minorEastAsia"/>
          <w:sz w:val="28"/>
          <w:szCs w:val="28"/>
        </w:rPr>
        <w:t>当累计</w:t>
      </w:r>
      <w:r>
        <w:rPr>
          <w:rFonts w:asciiTheme="minorEastAsia" w:hAnsiTheme="minorEastAsia" w:eastAsiaTheme="minorEastAsia"/>
          <w:sz w:val="28"/>
          <w:szCs w:val="28"/>
        </w:rPr>
        <w:t>低于专业容量且跨类人数不足</w:t>
      </w:r>
      <w:r>
        <w:rPr>
          <w:rFonts w:hint="eastAsia" w:asciiTheme="minorEastAsia" w:hAnsiTheme="minorEastAsia" w:eastAsiaTheme="minorEastAsia"/>
          <w:sz w:val="28"/>
          <w:szCs w:val="28"/>
        </w:rPr>
        <w:t>第二轮</w:t>
      </w:r>
      <w:r>
        <w:rPr>
          <w:rFonts w:asciiTheme="minorEastAsia" w:hAnsiTheme="minorEastAsia" w:eastAsiaTheme="minorEastAsia"/>
          <w:sz w:val="28"/>
          <w:szCs w:val="28"/>
        </w:rPr>
        <w:t>专业容量时，</w:t>
      </w:r>
      <w:r>
        <w:rPr>
          <w:rFonts w:hint="eastAsia" w:asciiTheme="minorEastAsia" w:hAnsiTheme="minorEastAsia" w:eastAsiaTheme="minorEastAsia"/>
          <w:sz w:val="28"/>
          <w:szCs w:val="28"/>
        </w:rPr>
        <w:t>该</w:t>
      </w:r>
      <w:r>
        <w:rPr>
          <w:rFonts w:asciiTheme="minorEastAsia" w:hAnsiTheme="minorEastAsia" w:eastAsiaTheme="minorEastAsia"/>
          <w:sz w:val="28"/>
          <w:szCs w:val="28"/>
        </w:rPr>
        <w:t>专业接受所有申请的学生</w:t>
      </w:r>
      <w:r>
        <w:rPr>
          <w:rFonts w:hint="eastAsia" w:asciiTheme="minorEastAsia" w:hAnsiTheme="minorEastAsia" w:eastAsiaTheme="minorEastAsia"/>
          <w:sz w:val="28"/>
          <w:szCs w:val="28"/>
        </w:rPr>
        <w:t>。浙江省和上海市生源地学生跨类确认应符合选考科目要求且只能高分转低分。跨校级代码确认视同转专业，学生跨校级代码确认后不得转专业。转专业不受选考科目和高考分数限制，但需符合目标专业培养方案的要求。</w:t>
      </w:r>
    </w:p>
    <w:p>
      <w:pPr>
        <w:spacing w:line="6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卓越班的选拔详见届时招生简章。</w:t>
      </w:r>
    </w:p>
    <w:p>
      <w:pPr>
        <w:pStyle w:val="13"/>
        <w:widowControl/>
        <w:spacing w:line="245" w:lineRule="auto"/>
        <w:ind w:firstLine="0" w:firstLineChars="0"/>
        <w:rPr>
          <w:rFonts w:asciiTheme="minorEastAsia" w:hAnsiTheme="minorEastAsia" w:eastAsiaTheme="minorEastAsia"/>
          <w:sz w:val="28"/>
          <w:szCs w:val="28"/>
        </w:rPr>
      </w:pPr>
    </w:p>
    <w:p>
      <w:pPr>
        <w:pStyle w:val="13"/>
        <w:widowControl/>
        <w:spacing w:line="245" w:lineRule="auto"/>
        <w:ind w:firstLine="560"/>
        <w:rPr>
          <w:rFonts w:asciiTheme="minorEastAsia" w:hAnsiTheme="minorEastAsia" w:eastAsiaTheme="minorEastAsia"/>
          <w:kern w:val="0"/>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 xml:space="preserve"> </w:t>
      </w:r>
      <w:r>
        <w:rPr>
          <w:rFonts w:asciiTheme="minorEastAsia" w:hAnsiTheme="minorEastAsia" w:eastAsiaTheme="minorEastAsia"/>
          <w:kern w:val="0"/>
          <w:sz w:val="28"/>
          <w:szCs w:val="28"/>
        </w:rPr>
        <w:t>第二轮确认后，专业接收容量的剩余部分全部纳入转专业容量操作。</w:t>
      </w:r>
    </w:p>
    <w:p>
      <w:pPr>
        <w:widowControl w:val="0"/>
        <w:numPr>
          <w:ilvl w:val="0"/>
          <w:numId w:val="1"/>
        </w:numPr>
        <w:spacing w:before="120" w:beforeLines="50"/>
        <w:ind w:left="1321"/>
        <w:jc w:val="both"/>
        <w:rPr>
          <w:rFonts w:asciiTheme="minorEastAsia" w:hAnsiTheme="minorEastAsia" w:eastAsiaTheme="minorEastAsia"/>
          <w:b/>
          <w:kern w:val="2"/>
          <w:sz w:val="28"/>
          <w:szCs w:val="28"/>
        </w:rPr>
      </w:pPr>
      <w:r>
        <w:rPr>
          <w:rFonts w:hint="eastAsia" w:asciiTheme="minorEastAsia" w:hAnsiTheme="minorEastAsia" w:eastAsiaTheme="minorEastAsia"/>
          <w:b/>
          <w:kern w:val="2"/>
          <w:sz w:val="28"/>
          <w:szCs w:val="28"/>
        </w:rPr>
        <w:t>各专业学生数容量</w:t>
      </w:r>
    </w:p>
    <w:tbl>
      <w:tblPr>
        <w:tblStyle w:val="7"/>
        <w:tblW w:w="8172" w:type="dxa"/>
        <w:tblInd w:w="1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2"/>
        <w:gridCol w:w="226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2" w:type="dxa"/>
            <w:vAlign w:val="center"/>
          </w:tcPr>
          <w:p>
            <w:pPr>
              <w:widowControl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专业名称</w:t>
            </w:r>
          </w:p>
        </w:tc>
        <w:tc>
          <w:tcPr>
            <w:tcW w:w="2268" w:type="dxa"/>
            <w:vAlign w:val="center"/>
          </w:tcPr>
          <w:p>
            <w:pPr>
              <w:widowControl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第一轮容量</w:t>
            </w:r>
          </w:p>
        </w:tc>
        <w:tc>
          <w:tcPr>
            <w:tcW w:w="3402" w:type="dxa"/>
          </w:tcPr>
          <w:p>
            <w:pPr>
              <w:widowControl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扩容率20%</w:t>
            </w:r>
          </w:p>
          <w:p>
            <w:pPr>
              <w:widowControl w:val="0"/>
              <w:rPr>
                <w:rFonts w:asciiTheme="minorEastAsia" w:hAnsiTheme="minorEastAsia" w:eastAsiaTheme="minorEastAsia"/>
                <w:sz w:val="28"/>
                <w:szCs w:val="28"/>
              </w:rPr>
            </w:pPr>
            <w:r>
              <w:rPr>
                <w:rFonts w:hint="eastAsia" w:asciiTheme="minorEastAsia" w:hAnsiTheme="minorEastAsia" w:eastAsiaTheme="minorEastAsia"/>
                <w:sz w:val="28"/>
                <w:szCs w:val="28"/>
              </w:rPr>
              <w:t>（10%跨类、10%转专业）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2" w:type="dxa"/>
          </w:tcPr>
          <w:p>
            <w:pPr>
              <w:widowControl w:val="0"/>
              <w:jc w:val="both"/>
              <w:rPr>
                <w:rFonts w:asciiTheme="minorEastAsia" w:hAnsiTheme="minorEastAsia" w:eastAsiaTheme="minorEastAsia"/>
                <w:sz w:val="28"/>
                <w:szCs w:val="28"/>
              </w:rPr>
            </w:pPr>
            <w:r>
              <w:rPr>
                <w:rFonts w:hint="eastAsia" w:asciiTheme="minorEastAsia" w:hAnsiTheme="minorEastAsia" w:eastAsiaTheme="minorEastAsia"/>
                <w:kern w:val="2"/>
                <w:sz w:val="28"/>
                <w:szCs w:val="28"/>
              </w:rPr>
              <w:t>化学工程与工艺</w:t>
            </w:r>
          </w:p>
        </w:tc>
        <w:tc>
          <w:tcPr>
            <w:tcW w:w="2268" w:type="dxa"/>
          </w:tcPr>
          <w:p>
            <w:pPr>
              <w:widowControl w:val="0"/>
              <w:jc w:val="center"/>
              <w:rPr>
                <w:rFonts w:asciiTheme="minorEastAsia" w:hAnsiTheme="minorEastAsia" w:eastAsiaTheme="minorEastAsia"/>
              </w:rPr>
            </w:pPr>
            <w:r>
              <w:rPr>
                <w:rFonts w:hint="eastAsia" w:asciiTheme="minorEastAsia" w:hAnsiTheme="minorEastAsia" w:eastAsiaTheme="minorEastAsia"/>
                <w:lang w:val="en-US" w:eastAsia="zh-CN"/>
              </w:rPr>
              <w:t>88</w:t>
            </w:r>
            <w:bookmarkStart w:id="1" w:name="_GoBack"/>
            <w:bookmarkEnd w:id="1"/>
            <w:r>
              <w:rPr>
                <w:rFonts w:hint="eastAsia" w:asciiTheme="minorEastAsia" w:hAnsiTheme="minorEastAsia" w:eastAsiaTheme="minorEastAsia"/>
              </w:rPr>
              <w:t>+</w:t>
            </w:r>
            <w:r>
              <w:rPr>
                <w:rFonts w:asciiTheme="minorEastAsia" w:hAnsiTheme="minorEastAsia" w:eastAsiaTheme="minorEastAsia"/>
              </w:rPr>
              <w:t>27</w:t>
            </w:r>
            <w:r>
              <w:rPr>
                <w:rFonts w:hint="eastAsia" w:asciiTheme="minorEastAsia" w:hAnsiTheme="minorEastAsia" w:eastAsiaTheme="minorEastAsia"/>
              </w:rPr>
              <w:t>三位一体</w:t>
            </w:r>
          </w:p>
        </w:tc>
        <w:tc>
          <w:tcPr>
            <w:tcW w:w="3402" w:type="dxa"/>
          </w:tcPr>
          <w:p>
            <w:pPr>
              <w:widowControl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跨类</w:t>
            </w:r>
            <w:r>
              <w:rPr>
                <w:rFonts w:asciiTheme="minorEastAsia" w:hAnsiTheme="minorEastAsia" w:eastAsiaTheme="minorEastAsia"/>
                <w:sz w:val="28"/>
                <w:szCs w:val="28"/>
              </w:rPr>
              <w:t>13</w:t>
            </w:r>
            <w:r>
              <w:rPr>
                <w:rFonts w:hint="eastAsia" w:asciiTheme="minorEastAsia" w:hAnsiTheme="minorEastAsia" w:eastAsiaTheme="minorEastAsia"/>
                <w:sz w:val="28"/>
                <w:szCs w:val="28"/>
              </w:rPr>
              <w:t>，转专业</w:t>
            </w:r>
            <w:r>
              <w:rPr>
                <w:rFonts w:asciiTheme="minorEastAsia" w:hAnsiTheme="minorEastAsia" w:eastAsiaTheme="minorEastAsia"/>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2" w:type="dxa"/>
          </w:tcPr>
          <w:p>
            <w:pPr>
              <w:widowControl w:val="0"/>
              <w:jc w:val="both"/>
              <w:rPr>
                <w:rFonts w:asciiTheme="minorEastAsia" w:hAnsiTheme="minorEastAsia" w:eastAsiaTheme="minorEastAsia"/>
                <w:sz w:val="28"/>
                <w:szCs w:val="28"/>
              </w:rPr>
            </w:pPr>
            <w:r>
              <w:rPr>
                <w:rFonts w:hint="eastAsia" w:asciiTheme="minorEastAsia" w:hAnsiTheme="minorEastAsia" w:eastAsiaTheme="minorEastAsia"/>
                <w:kern w:val="2"/>
                <w:sz w:val="28"/>
                <w:szCs w:val="28"/>
              </w:rPr>
              <w:t>生 物 工 程</w:t>
            </w:r>
          </w:p>
        </w:tc>
        <w:tc>
          <w:tcPr>
            <w:tcW w:w="2268" w:type="dxa"/>
          </w:tcPr>
          <w:p>
            <w:pPr>
              <w:widowControl w:val="0"/>
              <w:jc w:val="center"/>
              <w:rPr>
                <w:rFonts w:asciiTheme="minorEastAsia" w:hAnsiTheme="minorEastAsia" w:eastAsiaTheme="minorEastAsia"/>
                <w:sz w:val="28"/>
                <w:szCs w:val="28"/>
              </w:rPr>
            </w:pPr>
            <w:r>
              <w:rPr>
                <w:rFonts w:asciiTheme="minorEastAsia" w:hAnsiTheme="minorEastAsia" w:eastAsiaTheme="minorEastAsia"/>
                <w:sz w:val="28"/>
                <w:szCs w:val="28"/>
              </w:rPr>
              <w:t>14</w:t>
            </w:r>
            <w:r>
              <w:rPr>
                <w:rFonts w:hint="eastAsia" w:asciiTheme="minorEastAsia" w:hAnsiTheme="minorEastAsia" w:eastAsiaTheme="minorEastAsia"/>
                <w:sz w:val="28"/>
                <w:szCs w:val="28"/>
              </w:rPr>
              <w:t>+</w:t>
            </w:r>
            <w:r>
              <w:rPr>
                <w:rFonts w:asciiTheme="minorEastAsia" w:hAnsiTheme="minorEastAsia" w:eastAsiaTheme="minorEastAsia"/>
                <w:sz w:val="28"/>
                <w:szCs w:val="28"/>
              </w:rPr>
              <w:t>10</w:t>
            </w:r>
            <w:r>
              <w:rPr>
                <w:rFonts w:hint="eastAsia" w:asciiTheme="minorEastAsia" w:hAnsiTheme="minorEastAsia" w:eastAsiaTheme="minorEastAsia"/>
                <w:sz w:val="28"/>
                <w:szCs w:val="28"/>
              </w:rPr>
              <w:t>三位一体</w:t>
            </w:r>
          </w:p>
        </w:tc>
        <w:tc>
          <w:tcPr>
            <w:tcW w:w="3402" w:type="dxa"/>
          </w:tcPr>
          <w:p>
            <w:pPr>
              <w:widowControl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跨类2，转专业</w:t>
            </w:r>
            <w:r>
              <w:rPr>
                <w:rFonts w:asciiTheme="minorEastAsia" w:hAnsiTheme="minorEastAsia" w:eastAsiaTheme="minorEastAsia"/>
                <w:sz w:val="28"/>
                <w:szCs w:val="28"/>
              </w:rPr>
              <w:t>3</w:t>
            </w:r>
          </w:p>
        </w:tc>
      </w:tr>
    </w:tbl>
    <w:p>
      <w:pPr>
        <w:widowControl w:val="0"/>
        <w:numPr>
          <w:ilvl w:val="0"/>
          <w:numId w:val="1"/>
        </w:numPr>
        <w:spacing w:before="360" w:beforeLines="150" w:line="245" w:lineRule="auto"/>
        <w:ind w:left="1321"/>
        <w:jc w:val="both"/>
        <w:rPr>
          <w:rFonts w:asciiTheme="minorEastAsia" w:hAnsiTheme="minorEastAsia" w:eastAsiaTheme="minorEastAsia"/>
          <w:b/>
          <w:kern w:val="2"/>
          <w:sz w:val="28"/>
          <w:szCs w:val="28"/>
        </w:rPr>
      </w:pPr>
      <w:r>
        <w:rPr>
          <w:rFonts w:hint="eastAsia" w:asciiTheme="minorEastAsia" w:hAnsiTheme="minorEastAsia" w:eastAsiaTheme="minorEastAsia"/>
          <w:b/>
          <w:kern w:val="2"/>
          <w:sz w:val="28"/>
          <w:szCs w:val="28"/>
        </w:rPr>
        <w:t>确认主修专业基本条件</w:t>
      </w:r>
    </w:p>
    <w:p>
      <w:pPr>
        <w:pStyle w:val="12"/>
        <w:spacing w:before="120" w:beforeLines="50" w:line="245" w:lineRule="auto"/>
        <w:ind w:left="1287" w:firstLine="0" w:firstLineChars="0"/>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rPr>
        <w:t>1. 面试合格</w:t>
      </w:r>
      <w:r>
        <w:rPr>
          <w:rFonts w:hint="eastAsia" w:cs="仿宋_GB2312" w:asciiTheme="minorEastAsia" w:hAnsiTheme="minorEastAsia" w:eastAsiaTheme="minorEastAsia"/>
          <w:sz w:val="28"/>
          <w:szCs w:val="28"/>
          <w:lang w:val="en-US" w:eastAsia="zh-CN"/>
        </w:rPr>
        <w:t>；</w:t>
      </w:r>
    </w:p>
    <w:p>
      <w:pPr>
        <w:pStyle w:val="12"/>
        <w:spacing w:line="245" w:lineRule="auto"/>
        <w:ind w:left="1287" w:firstLine="0" w:firstLineChars="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 身体健康，非色盲者。</w:t>
      </w:r>
    </w:p>
    <w:p>
      <w:pPr>
        <w:spacing w:line="600" w:lineRule="exact"/>
        <w:ind w:firstLine="562" w:firstLineChars="200"/>
        <w:rPr>
          <w:rFonts w:eastAsia="仿宋_GB2312"/>
          <w:sz w:val="32"/>
          <w:szCs w:val="32"/>
        </w:rPr>
      </w:pPr>
      <w:bookmarkStart w:id="0" w:name="OLE_LINK2"/>
      <w:r>
        <w:rPr>
          <w:rFonts w:hint="eastAsia" w:asciiTheme="minorEastAsia" w:hAnsiTheme="minorEastAsia" w:eastAsiaTheme="minorEastAsia"/>
          <w:b/>
          <w:kern w:val="2"/>
          <w:sz w:val="28"/>
          <w:szCs w:val="28"/>
        </w:rPr>
        <w:t>六、</w:t>
      </w:r>
      <w:bookmarkEnd w:id="0"/>
      <w:r>
        <w:rPr>
          <w:rFonts w:hint="eastAsia" w:eastAsia="仿宋_GB2312"/>
          <w:b/>
          <w:sz w:val="32"/>
          <w:szCs w:val="32"/>
        </w:rPr>
        <w:t>时间安排</w:t>
      </w:r>
    </w:p>
    <w:p>
      <w:pPr>
        <w:spacing w:before="100" w:beforeAutospacing="1" w:after="100" w:afterAutospacing="1"/>
        <w:ind w:firstLine="555"/>
        <w:rPr>
          <w:rFonts w:ascii="宋体" w:hAnsi="宋体" w:cs="Calibri"/>
          <w:sz w:val="29"/>
          <w:szCs w:val="29"/>
        </w:rPr>
      </w:pPr>
      <w:r>
        <w:rPr>
          <w:rFonts w:hint="eastAsia" w:ascii="宋体" w:hAnsi="宋体" w:cs="Calibri"/>
          <w:sz w:val="29"/>
          <w:szCs w:val="29"/>
        </w:rPr>
        <w:t>1.第一轮专业确认（只能类内确认）</w:t>
      </w:r>
    </w:p>
    <w:p>
      <w:pPr>
        <w:spacing w:before="100" w:beforeAutospacing="1" w:after="100" w:afterAutospacing="1"/>
        <w:ind w:firstLine="555"/>
        <w:rPr>
          <w:rFonts w:ascii="宋体" w:hAnsi="宋体" w:cs="Calibri"/>
          <w:sz w:val="29"/>
          <w:szCs w:val="29"/>
          <w:highlight w:val="none"/>
        </w:rPr>
      </w:pPr>
      <w:r>
        <w:rPr>
          <w:rFonts w:hint="eastAsia" w:ascii="宋体" w:hAnsi="宋体" w:cs="Calibri"/>
          <w:sz w:val="29"/>
          <w:szCs w:val="29"/>
          <w:highlight w:val="none"/>
        </w:rPr>
        <w:t>学生报名时间：</w:t>
      </w:r>
      <w:r>
        <w:rPr>
          <w:rFonts w:ascii="宋体" w:hAnsi="宋体" w:cs="Calibri"/>
          <w:sz w:val="29"/>
          <w:szCs w:val="29"/>
          <w:highlight w:val="none"/>
        </w:rPr>
        <w:t>10月21日9:00—10月23日15:00</w:t>
      </w:r>
    </w:p>
    <w:p>
      <w:pPr>
        <w:spacing w:before="100" w:beforeAutospacing="1" w:after="100" w:afterAutospacing="1"/>
        <w:ind w:firstLine="555"/>
        <w:rPr>
          <w:rFonts w:ascii="宋体" w:hAnsi="宋体" w:cs="Calibri"/>
          <w:sz w:val="29"/>
          <w:szCs w:val="29"/>
          <w:highlight w:val="none"/>
        </w:rPr>
      </w:pPr>
      <w:r>
        <w:rPr>
          <w:rFonts w:ascii="宋体" w:hAnsi="宋体" w:cs="Calibri"/>
          <w:sz w:val="29"/>
          <w:szCs w:val="29"/>
          <w:highlight w:val="none"/>
        </w:rPr>
        <w:t>专业遴选、公示时间：10月23日—11月6日</w:t>
      </w:r>
    </w:p>
    <w:p>
      <w:pPr>
        <w:spacing w:before="100" w:beforeAutospacing="1" w:after="100" w:afterAutospacing="1"/>
        <w:ind w:firstLine="555"/>
        <w:rPr>
          <w:rFonts w:ascii="宋体" w:hAnsi="宋体" w:cs="Calibri"/>
          <w:sz w:val="29"/>
          <w:szCs w:val="29"/>
          <w:highlight w:val="none"/>
        </w:rPr>
      </w:pPr>
      <w:r>
        <w:rPr>
          <w:rFonts w:hint="eastAsia" w:ascii="宋体" w:hAnsi="宋体" w:cs="Calibri"/>
          <w:sz w:val="29"/>
          <w:szCs w:val="29"/>
          <w:highlight w:val="none"/>
        </w:rPr>
        <w:t>具体见各学院（系）网站通知</w:t>
      </w:r>
    </w:p>
    <w:p>
      <w:pPr>
        <w:spacing w:before="100" w:beforeAutospacing="1" w:after="100" w:afterAutospacing="1"/>
        <w:ind w:firstLine="555"/>
        <w:rPr>
          <w:rFonts w:ascii="宋体" w:hAnsi="宋体" w:cs="Calibri"/>
          <w:sz w:val="29"/>
          <w:szCs w:val="29"/>
          <w:highlight w:val="none"/>
        </w:rPr>
      </w:pPr>
      <w:r>
        <w:rPr>
          <w:rFonts w:hint="eastAsia" w:ascii="宋体" w:hAnsi="宋体" w:cs="Calibri"/>
          <w:sz w:val="29"/>
          <w:szCs w:val="29"/>
          <w:highlight w:val="none"/>
        </w:rPr>
        <w:t>学校公示时间：</w:t>
      </w:r>
      <w:r>
        <w:rPr>
          <w:rFonts w:ascii="宋体" w:hAnsi="宋体" w:cs="Calibri"/>
          <w:sz w:val="29"/>
          <w:szCs w:val="29"/>
          <w:highlight w:val="none"/>
        </w:rPr>
        <w:t>1</w:t>
      </w:r>
      <w:r>
        <w:rPr>
          <w:rFonts w:hint="eastAsia" w:ascii="宋体" w:hAnsi="宋体" w:cs="Calibri"/>
          <w:sz w:val="29"/>
          <w:szCs w:val="29"/>
          <w:highlight w:val="none"/>
        </w:rPr>
        <w:t>1月7日</w:t>
      </w:r>
      <w:r>
        <w:rPr>
          <w:rFonts w:ascii="宋体" w:hAnsi="宋体" w:cs="Calibri"/>
          <w:sz w:val="29"/>
          <w:szCs w:val="29"/>
          <w:highlight w:val="none"/>
        </w:rPr>
        <w:t>—11</w:t>
      </w:r>
      <w:r>
        <w:rPr>
          <w:rFonts w:hint="eastAsia" w:ascii="宋体" w:hAnsi="宋体" w:cs="Calibri"/>
          <w:sz w:val="29"/>
          <w:szCs w:val="29"/>
          <w:highlight w:val="none"/>
        </w:rPr>
        <w:t>月14日</w:t>
      </w:r>
    </w:p>
    <w:p>
      <w:pPr>
        <w:spacing w:before="100" w:beforeAutospacing="1" w:after="100" w:afterAutospacing="1"/>
        <w:ind w:firstLine="555"/>
        <w:rPr>
          <w:rFonts w:ascii="宋体" w:hAnsi="宋体" w:cs="Calibri"/>
          <w:sz w:val="29"/>
          <w:szCs w:val="29"/>
          <w:highlight w:val="none"/>
        </w:rPr>
      </w:pPr>
      <w:r>
        <w:rPr>
          <w:rFonts w:hint="eastAsia" w:ascii="宋体" w:hAnsi="宋体" w:cs="Calibri"/>
          <w:sz w:val="29"/>
          <w:szCs w:val="29"/>
          <w:highlight w:val="none"/>
        </w:rPr>
        <w:t>2.第二轮专业确认（同时进行跨类和类内确认）</w:t>
      </w:r>
    </w:p>
    <w:p>
      <w:pPr>
        <w:spacing w:before="100" w:beforeAutospacing="1" w:after="100" w:afterAutospacing="1"/>
        <w:ind w:firstLine="555"/>
        <w:rPr>
          <w:rFonts w:ascii="宋体" w:hAnsi="宋体" w:cs="Calibri"/>
          <w:sz w:val="29"/>
          <w:szCs w:val="29"/>
          <w:highlight w:val="none"/>
        </w:rPr>
      </w:pPr>
      <w:r>
        <w:rPr>
          <w:rFonts w:hint="eastAsia" w:ascii="宋体" w:hAnsi="宋体" w:cs="Calibri"/>
          <w:sz w:val="29"/>
          <w:szCs w:val="29"/>
          <w:highlight w:val="none"/>
        </w:rPr>
        <w:t>学生报名时间：12月7日</w:t>
      </w:r>
      <w:r>
        <w:rPr>
          <w:rFonts w:ascii="宋体" w:hAnsi="宋体" w:cs="Calibri"/>
          <w:sz w:val="29"/>
          <w:szCs w:val="29"/>
          <w:highlight w:val="none"/>
        </w:rPr>
        <w:t>11:00—</w:t>
      </w:r>
      <w:r>
        <w:rPr>
          <w:rFonts w:hint="eastAsia" w:ascii="宋体" w:hAnsi="宋体" w:cs="Calibri"/>
          <w:sz w:val="29"/>
          <w:szCs w:val="29"/>
          <w:highlight w:val="none"/>
        </w:rPr>
        <w:t>12月9日</w:t>
      </w:r>
      <w:r>
        <w:rPr>
          <w:rFonts w:ascii="宋体" w:hAnsi="宋体" w:cs="Calibri"/>
          <w:sz w:val="29"/>
          <w:szCs w:val="29"/>
          <w:highlight w:val="none"/>
        </w:rPr>
        <w:t>1</w:t>
      </w:r>
      <w:r>
        <w:rPr>
          <w:rFonts w:hint="eastAsia" w:ascii="宋体" w:hAnsi="宋体" w:cs="Calibri"/>
          <w:sz w:val="29"/>
          <w:szCs w:val="29"/>
          <w:highlight w:val="none"/>
        </w:rPr>
        <w:t>5</w:t>
      </w:r>
      <w:r>
        <w:rPr>
          <w:rFonts w:ascii="宋体" w:hAnsi="宋体" w:cs="Calibri"/>
          <w:sz w:val="29"/>
          <w:szCs w:val="29"/>
          <w:highlight w:val="none"/>
        </w:rPr>
        <w:t>:00</w:t>
      </w:r>
    </w:p>
    <w:p>
      <w:pPr>
        <w:spacing w:before="100" w:beforeAutospacing="1" w:after="100" w:afterAutospacing="1"/>
        <w:ind w:firstLine="580" w:firstLineChars="200"/>
        <w:rPr>
          <w:rFonts w:ascii="宋体" w:hAnsi="宋体" w:cs="Calibri"/>
          <w:sz w:val="29"/>
          <w:szCs w:val="29"/>
          <w:highlight w:val="none"/>
        </w:rPr>
      </w:pPr>
      <w:r>
        <w:rPr>
          <w:rFonts w:hint="eastAsia" w:ascii="宋体" w:hAnsi="宋体" w:cs="Calibri"/>
          <w:sz w:val="29"/>
          <w:szCs w:val="29"/>
          <w:highlight w:val="none"/>
        </w:rPr>
        <w:t>专业遴选、公示时间：12月9日—12月14日16:00</w:t>
      </w:r>
    </w:p>
    <w:p>
      <w:pPr>
        <w:spacing w:before="100" w:beforeAutospacing="1" w:after="100" w:afterAutospacing="1"/>
        <w:ind w:firstLine="555"/>
        <w:rPr>
          <w:rFonts w:ascii="宋体" w:hAnsi="宋体" w:cs="Calibri"/>
          <w:sz w:val="29"/>
          <w:szCs w:val="29"/>
          <w:highlight w:val="none"/>
        </w:rPr>
      </w:pPr>
      <w:r>
        <w:rPr>
          <w:rFonts w:hint="eastAsia" w:ascii="宋体" w:hAnsi="宋体" w:cs="Calibri"/>
          <w:sz w:val="29"/>
          <w:szCs w:val="29"/>
          <w:highlight w:val="none"/>
        </w:rPr>
        <w:t>学校公示时间：12月15日-12月21日</w:t>
      </w:r>
    </w:p>
    <w:p>
      <w:pPr>
        <w:spacing w:before="100" w:beforeAutospacing="1" w:after="100" w:afterAutospacing="1"/>
        <w:ind w:firstLine="555"/>
        <w:rPr>
          <w:rFonts w:ascii="宋体" w:hAnsi="宋体" w:cs="Calibri"/>
          <w:sz w:val="29"/>
          <w:szCs w:val="29"/>
          <w:highlight w:val="none"/>
        </w:rPr>
      </w:pPr>
      <w:r>
        <w:rPr>
          <w:rFonts w:hint="eastAsia" w:ascii="宋体" w:hAnsi="宋体" w:cs="Calibri"/>
          <w:sz w:val="29"/>
          <w:szCs w:val="29"/>
          <w:highlight w:val="none"/>
        </w:rPr>
        <w:t>具体见各学院（系）网站通知</w:t>
      </w:r>
    </w:p>
    <w:p>
      <w:pPr>
        <w:spacing w:before="100" w:beforeAutospacing="1" w:after="100" w:afterAutospacing="1"/>
        <w:ind w:firstLine="555"/>
        <w:rPr>
          <w:rFonts w:ascii="宋体" w:hAnsi="宋体" w:cs="Calibri"/>
          <w:sz w:val="29"/>
          <w:szCs w:val="29"/>
        </w:rPr>
      </w:pPr>
      <w:r>
        <w:rPr>
          <w:rFonts w:hint="eastAsia" w:ascii="宋体" w:hAnsi="宋体" w:cs="Calibri"/>
          <w:sz w:val="29"/>
          <w:szCs w:val="29"/>
        </w:rPr>
        <w:t>3.2020-2021学年春夏学期转专业</w:t>
      </w:r>
    </w:p>
    <w:p>
      <w:pPr>
        <w:spacing w:before="100" w:beforeAutospacing="1" w:after="100" w:afterAutospacing="1"/>
        <w:ind w:firstLine="555"/>
        <w:rPr>
          <w:rFonts w:ascii="宋体" w:hAnsi="宋体" w:cs="Calibri"/>
          <w:sz w:val="29"/>
          <w:szCs w:val="29"/>
        </w:rPr>
      </w:pPr>
      <w:r>
        <w:rPr>
          <w:rFonts w:hint="eastAsia" w:ascii="宋体" w:hAnsi="宋体" w:cs="Calibri"/>
          <w:sz w:val="29"/>
          <w:szCs w:val="29"/>
        </w:rPr>
        <w:t>学生报名时间：</w:t>
      </w:r>
      <w:r>
        <w:rPr>
          <w:rFonts w:ascii="宋体" w:hAnsi="宋体" w:cs="Calibri"/>
          <w:sz w:val="29"/>
          <w:szCs w:val="29"/>
        </w:rPr>
        <w:t>2021年1月28日11:00-2月26日16:00</w:t>
      </w:r>
    </w:p>
    <w:p>
      <w:pPr>
        <w:spacing w:before="100" w:beforeAutospacing="1" w:after="100" w:afterAutospacing="1"/>
        <w:ind w:firstLine="555"/>
        <w:rPr>
          <w:rFonts w:ascii="宋体" w:hAnsi="宋体" w:cs="Calibri"/>
          <w:sz w:val="29"/>
          <w:szCs w:val="29"/>
        </w:rPr>
      </w:pPr>
      <w:r>
        <w:rPr>
          <w:rFonts w:hint="eastAsia" w:ascii="宋体" w:hAnsi="宋体" w:cs="Calibri"/>
          <w:sz w:val="29"/>
          <w:szCs w:val="29"/>
        </w:rPr>
        <w:t>学生所在院系和相关部门审核时间：</w:t>
      </w:r>
      <w:r>
        <w:rPr>
          <w:rFonts w:ascii="宋体" w:hAnsi="宋体" w:cs="Calibri"/>
          <w:sz w:val="29"/>
          <w:szCs w:val="29"/>
        </w:rPr>
        <w:t>2月27日—3月2日</w:t>
      </w:r>
    </w:p>
    <w:p>
      <w:pPr>
        <w:spacing w:before="100" w:beforeAutospacing="1" w:after="100" w:afterAutospacing="1"/>
        <w:ind w:firstLine="555"/>
        <w:rPr>
          <w:rFonts w:ascii="宋体" w:hAnsi="宋体" w:cs="Calibri"/>
          <w:sz w:val="29"/>
          <w:szCs w:val="29"/>
        </w:rPr>
      </w:pPr>
      <w:r>
        <w:rPr>
          <w:rFonts w:hint="eastAsia" w:ascii="宋体" w:hAnsi="宋体" w:cs="Calibri"/>
          <w:sz w:val="29"/>
          <w:szCs w:val="29"/>
        </w:rPr>
        <w:t>转入专业遴选审核及学院公示时间：</w:t>
      </w:r>
      <w:r>
        <w:rPr>
          <w:rFonts w:ascii="宋体" w:hAnsi="宋体" w:cs="Calibri"/>
          <w:sz w:val="29"/>
          <w:szCs w:val="29"/>
        </w:rPr>
        <w:t>3</w:t>
      </w:r>
      <w:r>
        <w:rPr>
          <w:rFonts w:hint="eastAsia" w:ascii="宋体" w:hAnsi="宋体" w:cs="Calibri"/>
          <w:sz w:val="29"/>
          <w:szCs w:val="29"/>
        </w:rPr>
        <w:t>月</w:t>
      </w:r>
      <w:r>
        <w:rPr>
          <w:rFonts w:ascii="宋体" w:hAnsi="宋体" w:cs="Calibri"/>
          <w:sz w:val="29"/>
          <w:szCs w:val="29"/>
        </w:rPr>
        <w:t>3</w:t>
      </w:r>
      <w:r>
        <w:rPr>
          <w:rFonts w:hint="eastAsia" w:ascii="宋体" w:hAnsi="宋体" w:cs="Calibri"/>
          <w:sz w:val="29"/>
          <w:szCs w:val="29"/>
        </w:rPr>
        <w:t>日</w:t>
      </w:r>
      <w:r>
        <w:rPr>
          <w:rFonts w:ascii="宋体" w:hAnsi="宋体" w:cs="Calibri"/>
          <w:sz w:val="29"/>
          <w:szCs w:val="29"/>
        </w:rPr>
        <w:t>—3</w:t>
      </w:r>
      <w:r>
        <w:rPr>
          <w:rFonts w:hint="eastAsia" w:ascii="宋体" w:hAnsi="宋体" w:cs="Calibri"/>
          <w:sz w:val="29"/>
          <w:szCs w:val="29"/>
        </w:rPr>
        <w:t>月</w:t>
      </w:r>
      <w:r>
        <w:rPr>
          <w:rFonts w:ascii="宋体" w:hAnsi="宋体" w:cs="Calibri"/>
          <w:sz w:val="29"/>
          <w:szCs w:val="29"/>
        </w:rPr>
        <w:t>10</w:t>
      </w:r>
      <w:r>
        <w:rPr>
          <w:rFonts w:hint="eastAsia" w:ascii="宋体" w:hAnsi="宋体" w:cs="Calibri"/>
          <w:sz w:val="29"/>
          <w:szCs w:val="29"/>
        </w:rPr>
        <w:t>日</w:t>
      </w:r>
    </w:p>
    <w:p>
      <w:pPr>
        <w:spacing w:before="100" w:beforeAutospacing="1" w:after="100" w:afterAutospacing="1"/>
        <w:ind w:firstLine="555"/>
        <w:rPr>
          <w:rFonts w:ascii="宋体" w:hAnsi="宋体" w:cs="Calibri"/>
          <w:sz w:val="29"/>
          <w:szCs w:val="29"/>
        </w:rPr>
      </w:pPr>
      <w:r>
        <w:rPr>
          <w:rFonts w:hint="eastAsia" w:ascii="宋体" w:hAnsi="宋体" w:cs="Calibri"/>
          <w:sz w:val="29"/>
          <w:szCs w:val="29"/>
        </w:rPr>
        <w:t>学校公示时间：春学期第二周</w:t>
      </w:r>
    </w:p>
    <w:p>
      <w:pPr>
        <w:pStyle w:val="12"/>
        <w:widowControl w:val="0"/>
        <w:numPr>
          <w:ilvl w:val="0"/>
          <w:numId w:val="2"/>
        </w:numPr>
        <w:spacing w:before="120" w:beforeLines="50" w:line="245" w:lineRule="auto"/>
        <w:ind w:firstLineChars="0"/>
        <w:jc w:val="both"/>
        <w:rPr>
          <w:rFonts w:asciiTheme="minorEastAsia" w:hAnsiTheme="minorEastAsia" w:eastAsiaTheme="minorEastAsia"/>
          <w:b/>
          <w:kern w:val="2"/>
          <w:sz w:val="28"/>
          <w:szCs w:val="28"/>
        </w:rPr>
      </w:pPr>
      <w:r>
        <w:rPr>
          <w:rFonts w:hint="eastAsia" w:asciiTheme="minorEastAsia" w:hAnsiTheme="minorEastAsia" w:eastAsiaTheme="minorEastAsia"/>
          <w:b/>
          <w:kern w:val="2"/>
          <w:sz w:val="28"/>
          <w:szCs w:val="28"/>
        </w:rPr>
        <w:t>确认工作程序与方法</w:t>
      </w:r>
    </w:p>
    <w:p>
      <w:pPr>
        <w:widowControl w:val="0"/>
        <w:spacing w:before="120" w:beforeLines="50" w:line="245" w:lineRule="auto"/>
        <w:ind w:left="601" w:firstLine="601"/>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主修专业确认在规定时间内进行。</w:t>
      </w:r>
    </w:p>
    <w:p>
      <w:pPr>
        <w:widowControl w:val="0"/>
        <w:ind w:left="600"/>
        <w:jc w:val="both"/>
        <w:rPr>
          <w:rFonts w:asciiTheme="minorEastAsia" w:hAnsiTheme="minorEastAsia" w:eastAsiaTheme="minorEastAsia"/>
          <w:kern w:val="2"/>
          <w:sz w:val="28"/>
          <w:szCs w:val="28"/>
        </w:rPr>
      </w:pPr>
      <w:r>
        <w:rPr>
          <w:rFonts w:asciiTheme="minorEastAsia" w:hAnsiTheme="minorEastAsia" w:eastAsiaTheme="minorEastAsia"/>
          <w:kern w:val="2"/>
          <w:sz w:val="28"/>
          <w:szCs w:val="28"/>
        </w:rPr>
        <mc:AlternateContent>
          <mc:Choice Requires="wps">
            <w:drawing>
              <wp:anchor distT="0" distB="0" distL="114300" distR="114300" simplePos="0" relativeHeight="251658240" behindDoc="0" locked="1" layoutInCell="1" allowOverlap="1">
                <wp:simplePos x="0" y="0"/>
                <wp:positionH relativeFrom="column">
                  <wp:posOffset>2099945</wp:posOffset>
                </wp:positionH>
                <wp:positionV relativeFrom="paragraph">
                  <wp:posOffset>467995</wp:posOffset>
                </wp:positionV>
                <wp:extent cx="437515" cy="285750"/>
                <wp:effectExtent l="42545" t="10795" r="43815" b="8255"/>
                <wp:wrapSquare wrapText="bothSides"/>
                <wp:docPr id="7" name="AutoShape 8"/>
                <wp:cNvGraphicFramePr/>
                <a:graphic xmlns:a="http://schemas.openxmlformats.org/drawingml/2006/main">
                  <a:graphicData uri="http://schemas.microsoft.com/office/word/2010/wordprocessingShape">
                    <wps:wsp>
                      <wps:cNvSpPr>
                        <a:spLocks noChangeArrowheads="1"/>
                      </wps:cNvSpPr>
                      <wps:spPr bwMode="auto">
                        <a:xfrm>
                          <a:off x="0" y="0"/>
                          <a:ext cx="437515" cy="285750"/>
                        </a:xfrm>
                        <a:prstGeom prst="downArrow">
                          <a:avLst>
                            <a:gd name="adj1" fmla="val 50000"/>
                            <a:gd name="adj2" fmla="val 25000"/>
                          </a:avLst>
                        </a:prstGeom>
                        <a:solidFill>
                          <a:srgbClr val="FFFFFF"/>
                        </a:solidFill>
                        <a:ln w="9525">
                          <a:solidFill>
                            <a:srgbClr val="000000"/>
                          </a:solidFill>
                          <a:miter lim="800000"/>
                        </a:ln>
                      </wps:spPr>
                      <wps:bodyPr rot="0" vert="eaVert" wrap="square" lIns="91440" tIns="45720" rIns="91440" bIns="45720" anchor="t" anchorCtr="0" upright="1">
                        <a:noAutofit/>
                      </wps:bodyPr>
                    </wps:wsp>
                  </a:graphicData>
                </a:graphic>
              </wp:anchor>
            </w:drawing>
          </mc:Choice>
          <mc:Fallback>
            <w:pict>
              <v:shape id="AutoShape 8" o:spid="_x0000_s1026" o:spt="67" type="#_x0000_t67" style="position:absolute;left:0pt;margin-left:165.35pt;margin-top:36.85pt;height:22.5pt;width:34.45pt;mso-wrap-distance-bottom:0pt;mso-wrap-distance-left:9pt;mso-wrap-distance-right:9pt;mso-wrap-distance-top:0pt;z-index:251658240;mso-width-relative:page;mso-height-relative:page;" fillcolor="#FFFFFF" filled="t" stroked="t" coordsize="21600,21600" o:gfxdata="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RsJZfXAAAACgEAAA8AAAAAAAAAAQAgAAAAIgAAAGRycy9kb3ducmV2LnhtbFBLAQIUABQA&#10;AAAIAIdO4kDaWTBiKgIAAHsEAAAOAAAAAAAAAAEAIAAAACYBAABkcnMvZTJvRG9jLnhtbFBLBQYA&#10;AAAABgAGAFkBAADCBQAAAAA=&#10;" adj="16200,5400">
                <v:fill on="t" focussize="0,0"/>
                <v:stroke color="#000000" miterlimit="8" joinstyle="miter"/>
                <v:imagedata o:title=""/>
                <o:lock v:ext="edit" aspectratio="f"/>
                <v:textbox style="layout-flow:vertical-ideographic;"/>
                <w10:wrap type="square"/>
                <w10:anchorlock/>
              </v:shape>
            </w:pict>
          </mc:Fallback>
        </mc:AlternateContent>
      </w:r>
      <w:r>
        <w:rPr>
          <w:rFonts w:asciiTheme="minorEastAsia" w:hAnsiTheme="minorEastAsia" w:eastAsiaTheme="minorEastAsia"/>
          <w:kern w:val="2"/>
          <w:sz w:val="28"/>
          <w:szCs w:val="28"/>
        </w:rPr>
        <mc:AlternateContent>
          <mc:Choice Requires="wps">
            <w:drawing>
              <wp:anchor distT="0" distB="0" distL="114300" distR="114300" simplePos="0" relativeHeight="251656192" behindDoc="0" locked="1" layoutInCell="1" allowOverlap="1">
                <wp:simplePos x="0" y="0"/>
                <wp:positionH relativeFrom="column">
                  <wp:posOffset>1143000</wp:posOffset>
                </wp:positionH>
                <wp:positionV relativeFrom="paragraph">
                  <wp:posOffset>779145</wp:posOffset>
                </wp:positionV>
                <wp:extent cx="2400300" cy="342900"/>
                <wp:effectExtent l="9525" t="7620" r="9525" b="11430"/>
                <wp:wrapSquare wrapText="bothSides"/>
                <wp:docPr id="6" name="Rectangle 5"/>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rect">
                          <a:avLst/>
                        </a:prstGeom>
                        <a:solidFill>
                          <a:srgbClr val="FFFFFF"/>
                        </a:solidFill>
                        <a:ln w="9525">
                          <a:solidFill>
                            <a:srgbClr val="000000"/>
                          </a:solidFill>
                          <a:miter lim="800000"/>
                        </a:ln>
                      </wps:spPr>
                      <wps:txbx>
                        <w:txbxContent>
                          <w:p>
                            <w:pPr>
                              <w:ind w:firstLine="280"/>
                              <w:rPr>
                                <w:sz w:val="28"/>
                              </w:rPr>
                            </w:pPr>
                            <w:r>
                              <w:rPr>
                                <w:rFonts w:hint="eastAsia"/>
                                <w:sz w:val="28"/>
                              </w:rPr>
                              <w:t>化工学院工作小组审核批准</w:t>
                            </w:r>
                          </w:p>
                        </w:txbxContent>
                      </wps:txbx>
                      <wps:bodyPr rot="0" vert="horz" wrap="square" lIns="91440" tIns="45720" rIns="91440" bIns="45720" anchor="t" anchorCtr="0" upright="1">
                        <a:noAutofit/>
                      </wps:bodyPr>
                    </wps:wsp>
                  </a:graphicData>
                </a:graphic>
              </wp:anchor>
            </w:drawing>
          </mc:Choice>
          <mc:Fallback>
            <w:pict>
              <v:rect id="Rectangle 5" o:spid="_x0000_s1026" o:spt="1" style="position:absolute;left:0pt;margin-left:90pt;margin-top:61.35pt;height:27pt;width:189pt;mso-wrap-distance-bottom:0pt;mso-wrap-distance-left:9pt;mso-wrap-distance-right:9pt;mso-wrap-distance-top:0pt;z-index:251656192;mso-width-relative:page;mso-height-relative:page;" fillcolor="#FFFFFF" filled="t" stroked="t" coordsize="21600,21600" o:gfxdata="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GxXizWAAAACwEAAA8AAAAAAAAAAQAg&#10;AAAAIgAAAGRycy9kb3ducmV2LnhtbFBLAQIUABQAAAAIAIdO4kBE7UZqEAIAAC8EAAAOAAAAAAAA&#10;AAEAIAAAACUBAABkcnMvZTJvRG9jLnhtbFBLBQYAAAAABgAGAFkBAACnBQAAAAA=&#10;">
                <v:fill on="t" focussize="0,0"/>
                <v:stroke color="#000000" miterlimit="8" joinstyle="miter"/>
                <v:imagedata o:title=""/>
                <o:lock v:ext="edit" aspectratio="f"/>
                <v:textbox>
                  <w:txbxContent>
                    <w:p>
                      <w:pPr>
                        <w:ind w:firstLine="280"/>
                        <w:rPr>
                          <w:sz w:val="28"/>
                        </w:rPr>
                      </w:pPr>
                      <w:r>
                        <w:rPr>
                          <w:rFonts w:hint="eastAsia"/>
                          <w:sz w:val="28"/>
                        </w:rPr>
                        <w:t>化工学院工作小组审核批准</w:t>
                      </w:r>
                    </w:p>
                  </w:txbxContent>
                </v:textbox>
                <w10:wrap type="square"/>
                <w10:anchorlock/>
              </v:rect>
            </w:pict>
          </mc:Fallback>
        </mc:AlternateContent>
      </w:r>
      <w:r>
        <w:rPr>
          <w:rFonts w:asciiTheme="minorEastAsia" w:hAnsiTheme="minorEastAsia" w:eastAsiaTheme="minorEastAsia"/>
          <w:kern w:val="2"/>
          <w:sz w:val="28"/>
          <w:szCs w:val="28"/>
        </w:rPr>
        <mc:AlternateContent>
          <mc:Choice Requires="wps">
            <w:drawing>
              <wp:anchor distT="0" distB="0" distL="114300" distR="114300" simplePos="0" relativeHeight="251659264" behindDoc="0" locked="1" layoutInCell="1" allowOverlap="1">
                <wp:simplePos x="0" y="0"/>
                <wp:positionH relativeFrom="column">
                  <wp:posOffset>2129155</wp:posOffset>
                </wp:positionH>
                <wp:positionV relativeFrom="paragraph">
                  <wp:posOffset>1141730</wp:posOffset>
                </wp:positionV>
                <wp:extent cx="437515" cy="285750"/>
                <wp:effectExtent l="43180" t="8255" r="43180" b="10795"/>
                <wp:wrapSquare wrapText="bothSides"/>
                <wp:docPr id="5" name="AutoShape 12"/>
                <wp:cNvGraphicFramePr/>
                <a:graphic xmlns:a="http://schemas.openxmlformats.org/drawingml/2006/main">
                  <a:graphicData uri="http://schemas.microsoft.com/office/word/2010/wordprocessingShape">
                    <wps:wsp>
                      <wps:cNvSpPr>
                        <a:spLocks noChangeArrowheads="1"/>
                      </wps:cNvSpPr>
                      <wps:spPr bwMode="auto">
                        <a:xfrm>
                          <a:off x="0" y="0"/>
                          <a:ext cx="437515" cy="285750"/>
                        </a:xfrm>
                        <a:prstGeom prst="downArrow">
                          <a:avLst>
                            <a:gd name="adj1" fmla="val 50000"/>
                            <a:gd name="adj2" fmla="val 25000"/>
                          </a:avLst>
                        </a:prstGeom>
                        <a:solidFill>
                          <a:srgbClr val="FFFFFF"/>
                        </a:solidFill>
                        <a:ln w="9525">
                          <a:solidFill>
                            <a:srgbClr val="000000"/>
                          </a:solidFill>
                          <a:miter lim="800000"/>
                        </a:ln>
                      </wps:spPr>
                      <wps:bodyPr rot="0" vert="eaVert" wrap="square" lIns="91440" tIns="45720" rIns="91440" bIns="45720" anchor="t" anchorCtr="0" upright="1">
                        <a:noAutofit/>
                      </wps:bodyPr>
                    </wps:wsp>
                  </a:graphicData>
                </a:graphic>
              </wp:anchor>
            </w:drawing>
          </mc:Choice>
          <mc:Fallback>
            <w:pict>
              <v:shape id="AutoShape 12" o:spid="_x0000_s1026" o:spt="67" type="#_x0000_t67" style="position:absolute;left:0pt;margin-left:167.65pt;margin-top:89.9pt;height:22.5pt;width:34.45pt;mso-wrap-distance-bottom:0pt;mso-wrap-distance-left:9pt;mso-wrap-distance-right:9pt;mso-wrap-distance-top:0pt;z-index:251659264;mso-width-relative:page;mso-height-relative:page;" fillcolor="#FFFFFF" filled="t" stroked="t" coordsize="21600,21600" o:gfxdata="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ILFNKLXAAAACwEAAA8AAAAAAAAAAQAgAAAAIgAAAGRycy9kb3ducmV2LnhtbFBLAQIUABQA&#10;AAAIAIdO4kDy2ytKKgIAAHwEAAAOAAAAAAAAAAEAIAAAACYBAABkcnMvZTJvRG9jLnhtbFBLBQYA&#10;AAAABgAGAFkBAADCBQAAAAA=&#10;" adj="16200,5400">
                <v:fill on="t" focussize="0,0"/>
                <v:stroke color="#000000" miterlimit="8" joinstyle="miter"/>
                <v:imagedata o:title=""/>
                <o:lock v:ext="edit" aspectratio="f"/>
                <v:textbox style="layout-flow:vertical-ideographic;"/>
                <w10:wrap type="square"/>
                <w10:anchorlock/>
              </v:shape>
            </w:pict>
          </mc:Fallback>
        </mc:AlternateContent>
      </w:r>
      <w:r>
        <w:rPr>
          <w:rFonts w:asciiTheme="minorEastAsia" w:hAnsiTheme="minorEastAsia" w:eastAsiaTheme="minorEastAsia"/>
          <w:kern w:val="2"/>
          <w:sz w:val="28"/>
          <w:szCs w:val="28"/>
        </w:rPr>
        <mc:AlternateContent>
          <mc:Choice Requires="wps">
            <w:drawing>
              <wp:anchor distT="0" distB="0" distL="114300" distR="114300" simplePos="0" relativeHeight="251658240" behindDoc="0" locked="1" layoutInCell="1" allowOverlap="1">
                <wp:simplePos x="0" y="0"/>
                <wp:positionH relativeFrom="column">
                  <wp:posOffset>1143000</wp:posOffset>
                </wp:positionH>
                <wp:positionV relativeFrom="paragraph">
                  <wp:posOffset>2115820</wp:posOffset>
                </wp:positionV>
                <wp:extent cx="2400300" cy="342900"/>
                <wp:effectExtent l="9525" t="10795" r="9525" b="8255"/>
                <wp:wrapSquare wrapText="bothSides"/>
                <wp:docPr id="4" name="Rectangle 7"/>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rect">
                          <a:avLst/>
                        </a:prstGeom>
                        <a:solidFill>
                          <a:srgbClr val="FFFFFF"/>
                        </a:solidFill>
                        <a:ln w="9525">
                          <a:solidFill>
                            <a:srgbClr val="000000"/>
                          </a:solidFill>
                          <a:miter lim="800000"/>
                        </a:ln>
                      </wps:spPr>
                      <wps:txbx>
                        <w:txbxContent>
                          <w:p>
                            <w:pPr>
                              <w:ind w:firstLine="840"/>
                              <w:rPr>
                                <w:sz w:val="28"/>
                              </w:rPr>
                            </w:pPr>
                            <w:r>
                              <w:rPr>
                                <w:rFonts w:hint="eastAsia"/>
                                <w:sz w:val="28"/>
                              </w:rPr>
                              <w:t>上报学校学务处</w:t>
                            </w:r>
                          </w:p>
                        </w:txbxContent>
                      </wps:txbx>
                      <wps:bodyPr rot="0" vert="horz" wrap="square" lIns="91440" tIns="45720" rIns="91440" bIns="45720" anchor="t" anchorCtr="0" upright="1">
                        <a:noAutofit/>
                      </wps:bodyPr>
                    </wps:wsp>
                  </a:graphicData>
                </a:graphic>
              </wp:anchor>
            </w:drawing>
          </mc:Choice>
          <mc:Fallback>
            <w:pict>
              <v:rect id="Rectangle 7" o:spid="_x0000_s1026" o:spt="1" style="position:absolute;left:0pt;margin-left:90pt;margin-top:166.6pt;height:27pt;width:189pt;mso-wrap-distance-bottom:0pt;mso-wrap-distance-left:9pt;mso-wrap-distance-right:9pt;mso-wrap-distance-top:0pt;z-index:251658240;mso-width-relative:page;mso-height-relative:page;" fillcolor="#FFFFFF" filled="t" stroked="t" coordsize="21600,21600" o:gfxdata="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x9SsvdgAAAALAQAADwAAAAAAAAAB&#10;ACAAAAAiAAAAZHJzL2Rvd25yZXYueG1sUEsBAhQAFAAAAAgAh07iQM7/JXMQAgAALwQAAA4AAAAA&#10;AAAAAQAgAAAAJwEAAGRycy9lMm9Eb2MueG1sUEsFBgAAAAAGAAYAWQEAAKkFAAAAAA==&#10;">
                <v:fill on="t" focussize="0,0"/>
                <v:stroke color="#000000" miterlimit="8" joinstyle="miter"/>
                <v:imagedata o:title=""/>
                <o:lock v:ext="edit" aspectratio="f"/>
                <v:textbox>
                  <w:txbxContent>
                    <w:p>
                      <w:pPr>
                        <w:ind w:firstLine="840"/>
                        <w:rPr>
                          <w:sz w:val="28"/>
                        </w:rPr>
                      </w:pPr>
                      <w:r>
                        <w:rPr>
                          <w:rFonts w:hint="eastAsia"/>
                          <w:sz w:val="28"/>
                        </w:rPr>
                        <w:t>上报学校学务处</w:t>
                      </w:r>
                    </w:p>
                  </w:txbxContent>
                </v:textbox>
                <w10:wrap type="square"/>
                <w10:anchorlock/>
              </v:rect>
            </w:pict>
          </mc:Fallback>
        </mc:AlternateContent>
      </w:r>
      <w:r>
        <w:rPr>
          <w:rFonts w:asciiTheme="minorEastAsia" w:hAnsiTheme="minorEastAsia" w:eastAsiaTheme="minorEastAsia"/>
          <w:kern w:val="2"/>
          <w:sz w:val="28"/>
          <w:szCs w:val="28"/>
        </w:rPr>
        <mc:AlternateContent>
          <mc:Choice Requires="wps">
            <w:drawing>
              <wp:anchor distT="0" distB="0" distL="114300" distR="114300" simplePos="0" relativeHeight="251657216" behindDoc="0" locked="1" layoutInCell="1" allowOverlap="1">
                <wp:simplePos x="0" y="0"/>
                <wp:positionH relativeFrom="column">
                  <wp:posOffset>1143000</wp:posOffset>
                </wp:positionH>
                <wp:positionV relativeFrom="paragraph">
                  <wp:posOffset>1457960</wp:posOffset>
                </wp:positionV>
                <wp:extent cx="2400300" cy="342900"/>
                <wp:effectExtent l="9525" t="10160" r="9525" b="8890"/>
                <wp:wrapSquare wrapText="bothSides"/>
                <wp:docPr id="3" name="Rectangle 6"/>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rect">
                          <a:avLst/>
                        </a:prstGeom>
                        <a:solidFill>
                          <a:srgbClr val="FFFFFF"/>
                        </a:solidFill>
                        <a:ln w="9525">
                          <a:solidFill>
                            <a:srgbClr val="000000"/>
                          </a:solidFill>
                          <a:miter lim="800000"/>
                        </a:ln>
                      </wps:spPr>
                      <wps:txbx>
                        <w:txbxContent>
                          <w:p>
                            <w:pPr>
                              <w:ind w:firstLine="560"/>
                              <w:rPr>
                                <w:sz w:val="28"/>
                              </w:rPr>
                            </w:pPr>
                            <w:r>
                              <w:rPr>
                                <w:rFonts w:hint="eastAsia"/>
                                <w:sz w:val="28"/>
                              </w:rPr>
                              <w:t>公布专业确认结果</w:t>
                            </w:r>
                          </w:p>
                        </w:txbxContent>
                      </wps:txbx>
                      <wps:bodyPr rot="0" vert="horz" wrap="square" lIns="91440" tIns="45720" rIns="91440" bIns="45720" anchor="t" anchorCtr="0" upright="1">
                        <a:noAutofit/>
                      </wps:bodyPr>
                    </wps:wsp>
                  </a:graphicData>
                </a:graphic>
              </wp:anchor>
            </w:drawing>
          </mc:Choice>
          <mc:Fallback>
            <w:pict>
              <v:rect id="Rectangle 6" o:spid="_x0000_s1026" o:spt="1" style="position:absolute;left:0pt;margin-left:90pt;margin-top:114.8pt;height:27pt;width:189pt;mso-wrap-distance-bottom:0pt;mso-wrap-distance-left:9pt;mso-wrap-distance-right:9pt;mso-wrap-distance-top:0pt;z-index:251657216;mso-width-relative:page;mso-height-relative:page;" fillcolor="#FFFFFF" filled="t" stroked="t" coordsize="21600,21600" o:gfxdata="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p6e9dgAAAALAQAADwAAAAAAAAAB&#10;ACAAAAAiAAAAZHJzL2Rvd25yZXYueG1sUEsBAhQAFAAAAAgAh07iQBoudMMQAgAALwQAAA4AAAAA&#10;AAAAAQAgAAAAJwEAAGRycy9lMm9Eb2MueG1sUEsFBgAAAAAGAAYAWQEAAKkFAAAAAA==&#10;">
                <v:fill on="t" focussize="0,0"/>
                <v:stroke color="#000000" miterlimit="8" joinstyle="miter"/>
                <v:imagedata o:title=""/>
                <o:lock v:ext="edit" aspectratio="f"/>
                <v:textbox>
                  <w:txbxContent>
                    <w:p>
                      <w:pPr>
                        <w:ind w:firstLine="560"/>
                        <w:rPr>
                          <w:sz w:val="28"/>
                        </w:rPr>
                      </w:pPr>
                      <w:r>
                        <w:rPr>
                          <w:rFonts w:hint="eastAsia"/>
                          <w:sz w:val="28"/>
                        </w:rPr>
                        <w:t>公布专业确认结果</w:t>
                      </w:r>
                    </w:p>
                  </w:txbxContent>
                </v:textbox>
                <w10:wrap type="square"/>
                <w10:anchorlock/>
              </v:rect>
            </w:pict>
          </mc:Fallback>
        </mc:AlternateContent>
      </w:r>
      <w:r>
        <w:rPr>
          <w:rFonts w:asciiTheme="minorEastAsia" w:hAnsiTheme="minorEastAsia" w:eastAsiaTheme="minorEastAsia"/>
          <w:sz w:val="28"/>
          <w:szCs w:val="28"/>
        </w:rPr>
        <mc:AlternateContent>
          <mc:Choice Requires="wps">
            <w:drawing>
              <wp:anchor distT="0" distB="0" distL="114300" distR="114300" simplePos="0" relativeHeight="251660288" behindDoc="0" locked="1" layoutInCell="1" allowOverlap="1">
                <wp:simplePos x="0" y="0"/>
                <wp:positionH relativeFrom="column">
                  <wp:posOffset>2138680</wp:posOffset>
                </wp:positionH>
                <wp:positionV relativeFrom="paragraph">
                  <wp:posOffset>1821815</wp:posOffset>
                </wp:positionV>
                <wp:extent cx="437515" cy="285750"/>
                <wp:effectExtent l="43180" t="12065" r="43180" b="6985"/>
                <wp:wrapSquare wrapText="bothSides"/>
                <wp:docPr id="2" name="AutoShape 13"/>
                <wp:cNvGraphicFramePr/>
                <a:graphic xmlns:a="http://schemas.openxmlformats.org/drawingml/2006/main">
                  <a:graphicData uri="http://schemas.microsoft.com/office/word/2010/wordprocessingShape">
                    <wps:wsp>
                      <wps:cNvSpPr>
                        <a:spLocks noChangeArrowheads="1"/>
                      </wps:cNvSpPr>
                      <wps:spPr bwMode="auto">
                        <a:xfrm>
                          <a:off x="0" y="0"/>
                          <a:ext cx="437515" cy="285750"/>
                        </a:xfrm>
                        <a:prstGeom prst="downArrow">
                          <a:avLst>
                            <a:gd name="adj1" fmla="val 50000"/>
                            <a:gd name="adj2" fmla="val 25000"/>
                          </a:avLst>
                        </a:prstGeom>
                        <a:solidFill>
                          <a:srgbClr val="FFFFFF"/>
                        </a:solidFill>
                        <a:ln w="9525">
                          <a:solidFill>
                            <a:srgbClr val="000000"/>
                          </a:solidFill>
                          <a:miter lim="800000"/>
                        </a:ln>
                      </wps:spPr>
                      <wps:bodyPr rot="0" vert="eaVert" wrap="square" lIns="91440" tIns="45720" rIns="91440" bIns="45720" anchor="t" anchorCtr="0" upright="1">
                        <a:noAutofit/>
                      </wps:bodyPr>
                    </wps:wsp>
                  </a:graphicData>
                </a:graphic>
              </wp:anchor>
            </w:drawing>
          </mc:Choice>
          <mc:Fallback>
            <w:pict>
              <v:shape id="AutoShape 13" o:spid="_x0000_s1026" o:spt="67" type="#_x0000_t67" style="position:absolute;left:0pt;margin-left:168.4pt;margin-top:143.45pt;height:22.5pt;width:34.45pt;mso-wrap-distance-bottom:0pt;mso-wrap-distance-left:9pt;mso-wrap-distance-right:9pt;mso-wrap-distance-top:0pt;z-index:251660288;mso-width-relative:page;mso-height-relative:page;" fillcolor="#FFFFFF" filled="t" stroked="t" coordsize="21600,21600" o:gfxdata="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4A1OHXAAAACwEAAA8AAAAAAAAAAQAgAAAAIgAAAGRycy9kb3ducmV2LnhtbFBLAQIU&#10;ABQAAAAIAIdO4kARnPmDLQIAAHwEAAAOAAAAAAAAAAEAIAAAACYBAABkcnMvZTJvRG9jLnhtbFBL&#10;BQYAAAAABgAGAFkBAADFBQAAAAA=&#10;" adj="16200,5400">
                <v:fill on="t" focussize="0,0"/>
                <v:stroke color="#000000" miterlimit="8" joinstyle="miter"/>
                <v:imagedata o:title=""/>
                <o:lock v:ext="edit" aspectratio="f"/>
                <v:textbox style="layout-flow:vertical-ideographic;"/>
                <w10:wrap type="square"/>
                <w10:anchorlock/>
              </v:shape>
            </w:pict>
          </mc:Fallback>
        </mc:AlternateContent>
      </w:r>
      <w:r>
        <w:rPr>
          <w:rFonts w:asciiTheme="minorEastAsia" w:hAnsiTheme="minorEastAsia" w:eastAsiaTheme="minorEastAsia"/>
          <w:kern w:val="2"/>
          <w:sz w:val="28"/>
          <w:szCs w:val="28"/>
        </w:rPr>
        <mc:AlternateContent>
          <mc:Choice Requires="wps">
            <w:drawing>
              <wp:anchor distT="0" distB="0" distL="114300" distR="114300" simplePos="0" relativeHeight="251655168" behindDoc="0" locked="1" layoutInCell="1" allowOverlap="1">
                <wp:simplePos x="0" y="0"/>
                <wp:positionH relativeFrom="column">
                  <wp:posOffset>1143000</wp:posOffset>
                </wp:positionH>
                <wp:positionV relativeFrom="paragraph">
                  <wp:posOffset>96520</wp:posOffset>
                </wp:positionV>
                <wp:extent cx="2400300" cy="342900"/>
                <wp:effectExtent l="9525" t="10795" r="9525" b="8255"/>
                <wp:wrapSquare wrapText="bothSides"/>
                <wp:docPr id="1" name="Rectangle 3"/>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rect">
                          <a:avLst/>
                        </a:prstGeom>
                        <a:solidFill>
                          <a:srgbClr val="FFFFFF"/>
                        </a:solidFill>
                        <a:ln w="9525">
                          <a:solidFill>
                            <a:srgbClr val="000000"/>
                          </a:solidFill>
                          <a:miter lim="800000"/>
                        </a:ln>
                      </wps:spPr>
                      <wps:txbx>
                        <w:txbxContent>
                          <w:p>
                            <w:pPr>
                              <w:ind w:firstLine="140" w:firstLineChars="50"/>
                              <w:rPr>
                                <w:sz w:val="28"/>
                              </w:rPr>
                            </w:pPr>
                            <w:r>
                              <w:rPr>
                                <w:rFonts w:hint="eastAsia"/>
                                <w:sz w:val="28"/>
                              </w:rPr>
                              <w:t>学生在现代教务网上申请</w:t>
                            </w:r>
                          </w:p>
                        </w:txbxContent>
                      </wps:txbx>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90pt;margin-top:7.6pt;height:27pt;width:189pt;mso-wrap-distance-bottom:0pt;mso-wrap-distance-left:9pt;mso-wrap-distance-right:9pt;mso-wrap-distance-top:0pt;z-index:251655168;mso-width-relative:page;mso-height-relative:page;" fillcolor="#FFFFFF" filled="t" stroked="t" coordsize="21600,21600" o:gfxdata="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JjWEPXAAAACQEAAA8AAAAAAAAAAQAg&#10;AAAAIgAAAGRycy9kb3ducmV2LnhtbFBLAQIUABQAAAAIAIdO4kA9QouZDwIAAC8EAAAOAAAAAAAA&#10;AAEAIAAAACYBAABkcnMvZTJvRG9jLnhtbFBLBQYAAAAABgAGAFkBAACnBQAAAAA=&#10;">
                <v:fill on="t" focussize="0,0"/>
                <v:stroke color="#000000" miterlimit="8" joinstyle="miter"/>
                <v:imagedata o:title=""/>
                <o:lock v:ext="edit" aspectratio="f"/>
                <v:textbox>
                  <w:txbxContent>
                    <w:p>
                      <w:pPr>
                        <w:ind w:firstLine="140" w:firstLineChars="50"/>
                        <w:rPr>
                          <w:sz w:val="28"/>
                        </w:rPr>
                      </w:pPr>
                      <w:r>
                        <w:rPr>
                          <w:rFonts w:hint="eastAsia"/>
                          <w:sz w:val="28"/>
                        </w:rPr>
                        <w:t>学生在现代教务网上申请</w:t>
                      </w:r>
                    </w:p>
                  </w:txbxContent>
                </v:textbox>
                <w10:wrap type="square"/>
                <w10:anchorlock/>
              </v:rect>
            </w:pict>
          </mc:Fallback>
        </mc:AlternateContent>
      </w:r>
      <w:r>
        <w:rPr>
          <w:rFonts w:hint="eastAsia" w:asciiTheme="minorEastAsia" w:hAnsiTheme="minorEastAsia" w:eastAsiaTheme="minorEastAsia"/>
          <w:kern w:val="2"/>
          <w:sz w:val="28"/>
          <w:szCs w:val="28"/>
        </w:rPr>
        <w:t xml:space="preserve">        </w:t>
      </w:r>
    </w:p>
    <w:p>
      <w:pPr>
        <w:widowControl w:val="0"/>
        <w:ind w:left="600"/>
        <w:jc w:val="both"/>
        <w:rPr>
          <w:rFonts w:asciiTheme="minorEastAsia" w:hAnsiTheme="minorEastAsia" w:eastAsiaTheme="minorEastAsia"/>
          <w:kern w:val="2"/>
          <w:sz w:val="28"/>
          <w:szCs w:val="28"/>
        </w:rPr>
      </w:pPr>
    </w:p>
    <w:p>
      <w:pPr>
        <w:widowControl w:val="0"/>
        <w:ind w:left="600"/>
        <w:jc w:val="both"/>
        <w:rPr>
          <w:rFonts w:asciiTheme="minorEastAsia" w:hAnsiTheme="minorEastAsia" w:eastAsiaTheme="minorEastAsia"/>
          <w:kern w:val="2"/>
          <w:sz w:val="28"/>
          <w:szCs w:val="28"/>
        </w:rPr>
      </w:pPr>
    </w:p>
    <w:p>
      <w:pPr>
        <w:widowControl w:val="0"/>
        <w:ind w:left="600"/>
        <w:jc w:val="both"/>
        <w:rPr>
          <w:rFonts w:asciiTheme="minorEastAsia" w:hAnsiTheme="minorEastAsia" w:eastAsiaTheme="minorEastAsia"/>
          <w:kern w:val="2"/>
          <w:sz w:val="28"/>
          <w:szCs w:val="28"/>
        </w:rPr>
      </w:pPr>
    </w:p>
    <w:p>
      <w:pPr>
        <w:widowControl w:val="0"/>
        <w:ind w:left="600"/>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 xml:space="preserve">       </w:t>
      </w:r>
    </w:p>
    <w:p>
      <w:pPr>
        <w:widowControl w:val="0"/>
        <w:ind w:left="600"/>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 xml:space="preserve">           </w:t>
      </w:r>
    </w:p>
    <w:p>
      <w:pPr>
        <w:widowControl w:val="0"/>
        <w:ind w:left="600"/>
        <w:jc w:val="both"/>
        <w:rPr>
          <w:rFonts w:asciiTheme="minorEastAsia" w:hAnsiTheme="minorEastAsia" w:eastAsiaTheme="minorEastAsia"/>
          <w:kern w:val="2"/>
          <w:sz w:val="28"/>
          <w:szCs w:val="28"/>
        </w:rPr>
      </w:pPr>
    </w:p>
    <w:p>
      <w:pPr>
        <w:widowControl w:val="0"/>
        <w:ind w:left="600"/>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 xml:space="preserve">        </w:t>
      </w:r>
    </w:p>
    <w:p>
      <w:pPr>
        <w:widowControl w:val="0"/>
        <w:ind w:left="600"/>
        <w:jc w:val="both"/>
        <w:rPr>
          <w:rFonts w:asciiTheme="minorEastAsia" w:hAnsiTheme="minorEastAsia" w:eastAsiaTheme="minorEastAsia"/>
          <w:sz w:val="28"/>
          <w:szCs w:val="28"/>
        </w:rPr>
      </w:pPr>
    </w:p>
    <w:p>
      <w:pPr>
        <w:widowControl w:val="0"/>
        <w:ind w:left="600"/>
        <w:jc w:val="both"/>
        <w:rPr>
          <w:rFonts w:asciiTheme="minorEastAsia" w:hAnsiTheme="minorEastAsia" w:eastAsiaTheme="minorEastAsia"/>
          <w:sz w:val="28"/>
          <w:szCs w:val="28"/>
        </w:rPr>
      </w:pPr>
    </w:p>
    <w:p>
      <w:pPr>
        <w:widowControl w:val="0"/>
        <w:ind w:left="600"/>
        <w:jc w:val="both"/>
        <w:rPr>
          <w:rFonts w:asciiTheme="minorEastAsia" w:hAnsiTheme="minorEastAsia" w:eastAsiaTheme="minorEastAsia"/>
          <w:sz w:val="28"/>
          <w:szCs w:val="28"/>
        </w:rPr>
      </w:pPr>
    </w:p>
    <w:p>
      <w:pPr>
        <w:widowControl w:val="0"/>
        <w:ind w:left="601"/>
        <w:jc w:val="both"/>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主修专业一经确认，原则上不再更改。 </w:t>
      </w:r>
    </w:p>
    <w:p>
      <w:pPr>
        <w:widowControl w:val="0"/>
        <w:ind w:left="600"/>
        <w:jc w:val="both"/>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本办法适用于20</w:t>
      </w:r>
      <w:r>
        <w:rPr>
          <w:rFonts w:asciiTheme="minorEastAsia" w:hAnsiTheme="minorEastAsia" w:eastAsiaTheme="minorEastAsia"/>
          <w:sz w:val="28"/>
          <w:szCs w:val="28"/>
        </w:rPr>
        <w:t>20</w:t>
      </w:r>
      <w:r>
        <w:rPr>
          <w:rFonts w:hint="eastAsia" w:asciiTheme="minorEastAsia" w:hAnsiTheme="minorEastAsia" w:eastAsiaTheme="minorEastAsia"/>
          <w:sz w:val="28"/>
          <w:szCs w:val="28"/>
        </w:rPr>
        <w:t>级本科生主修专业确认，由浙江大学化学工程与生物工程学院教学办公室负责解释。</w:t>
      </w:r>
    </w:p>
    <w:p>
      <w:pPr>
        <w:widowControl w:val="0"/>
        <w:ind w:left="600"/>
        <w:jc w:val="both"/>
        <w:rPr>
          <w:rFonts w:asciiTheme="minorEastAsia" w:hAnsiTheme="minorEastAsia" w:eastAsiaTheme="minorEastAsia"/>
          <w:sz w:val="28"/>
          <w:szCs w:val="28"/>
        </w:rPr>
      </w:pPr>
    </w:p>
    <w:p>
      <w:pPr>
        <w:widowControl w:val="0"/>
        <w:ind w:left="600"/>
        <w:jc w:val="right"/>
        <w:rPr>
          <w:rFonts w:asciiTheme="minorEastAsia" w:hAnsiTheme="minorEastAsia" w:eastAsiaTheme="minorEastAsia"/>
          <w:sz w:val="28"/>
          <w:szCs w:val="28"/>
        </w:rPr>
      </w:pPr>
      <w:r>
        <w:rPr>
          <w:rFonts w:hint="eastAsia" w:asciiTheme="minorEastAsia" w:hAnsiTheme="minorEastAsia" w:eastAsiaTheme="minorEastAsia"/>
          <w:sz w:val="28"/>
          <w:szCs w:val="28"/>
        </w:rPr>
        <w:t>浙江大学化学工程与生物工程学院</w:t>
      </w:r>
    </w:p>
    <w:p>
      <w:pPr>
        <w:widowControl w:val="0"/>
        <w:ind w:left="600"/>
        <w:jc w:val="right"/>
        <w:rPr>
          <w:rFonts w:asciiTheme="minorEastAsia" w:hAnsiTheme="minorEastAsia" w:eastAsiaTheme="minorEastAsia"/>
          <w:kern w:val="2"/>
          <w:sz w:val="28"/>
          <w:szCs w:val="28"/>
        </w:rPr>
      </w:pPr>
      <w:r>
        <w:rPr>
          <w:rFonts w:hint="eastAsia" w:asciiTheme="minorEastAsia" w:hAnsiTheme="minorEastAsia" w:eastAsiaTheme="minorEastAsia"/>
          <w:sz w:val="28"/>
          <w:szCs w:val="28"/>
        </w:rPr>
        <w:t>二〇二〇年十月</w:t>
      </w:r>
    </w:p>
    <w:sectPr>
      <w:pgSz w:w="11906" w:h="16838"/>
      <w:pgMar w:top="1247" w:right="1418" w:bottom="1247"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文鼎大标宋简">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706582"/>
    <w:multiLevelType w:val="multilevel"/>
    <w:tmpl w:val="4E706582"/>
    <w:lvl w:ilvl="0" w:tentative="0">
      <w:start w:val="1"/>
      <w:numFmt w:val="japaneseCounting"/>
      <w:lvlText w:val="%1、"/>
      <w:lvlJc w:val="left"/>
      <w:pPr>
        <w:tabs>
          <w:tab w:val="left" w:pos="1429"/>
        </w:tabs>
        <w:ind w:left="1429" w:hanging="720"/>
      </w:pPr>
      <w:rPr>
        <w:rFonts w:hint="eastAsia"/>
      </w:rPr>
    </w:lvl>
    <w:lvl w:ilvl="1" w:tentative="0">
      <w:start w:val="1"/>
      <w:numFmt w:val="decimal"/>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59893717"/>
    <w:multiLevelType w:val="multilevel"/>
    <w:tmpl w:val="59893717"/>
    <w:lvl w:ilvl="0" w:tentative="0">
      <w:start w:val="7"/>
      <w:numFmt w:val="japaneseCounting"/>
      <w:lvlText w:val="%1、"/>
      <w:lvlJc w:val="left"/>
      <w:pPr>
        <w:ind w:left="1429" w:hanging="72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7FC"/>
    <w:rsid w:val="00001160"/>
    <w:rsid w:val="000270CE"/>
    <w:rsid w:val="000459F1"/>
    <w:rsid w:val="00055670"/>
    <w:rsid w:val="00062324"/>
    <w:rsid w:val="000C21F3"/>
    <w:rsid w:val="000C4C23"/>
    <w:rsid w:val="000E563A"/>
    <w:rsid w:val="0010582E"/>
    <w:rsid w:val="00106D7B"/>
    <w:rsid w:val="00107371"/>
    <w:rsid w:val="00113C9F"/>
    <w:rsid w:val="00145703"/>
    <w:rsid w:val="00151A86"/>
    <w:rsid w:val="00153EDB"/>
    <w:rsid w:val="00165CB0"/>
    <w:rsid w:val="00181F7C"/>
    <w:rsid w:val="001865DF"/>
    <w:rsid w:val="00195C97"/>
    <w:rsid w:val="001A49E0"/>
    <w:rsid w:val="001D110D"/>
    <w:rsid w:val="001D1530"/>
    <w:rsid w:val="001E2BA6"/>
    <w:rsid w:val="001E3891"/>
    <w:rsid w:val="001E3C48"/>
    <w:rsid w:val="001F1A54"/>
    <w:rsid w:val="0020216E"/>
    <w:rsid w:val="00202196"/>
    <w:rsid w:val="00223DA9"/>
    <w:rsid w:val="002265D8"/>
    <w:rsid w:val="002676A3"/>
    <w:rsid w:val="00272AA9"/>
    <w:rsid w:val="00346623"/>
    <w:rsid w:val="00364751"/>
    <w:rsid w:val="00395237"/>
    <w:rsid w:val="003B428A"/>
    <w:rsid w:val="003B55C5"/>
    <w:rsid w:val="003D1CC5"/>
    <w:rsid w:val="003E1306"/>
    <w:rsid w:val="00451673"/>
    <w:rsid w:val="004568C4"/>
    <w:rsid w:val="0048716A"/>
    <w:rsid w:val="00490EB9"/>
    <w:rsid w:val="004A4FD5"/>
    <w:rsid w:val="004E6CB4"/>
    <w:rsid w:val="004F6AC3"/>
    <w:rsid w:val="00505676"/>
    <w:rsid w:val="00546E97"/>
    <w:rsid w:val="005471ED"/>
    <w:rsid w:val="00552E4A"/>
    <w:rsid w:val="005642B1"/>
    <w:rsid w:val="005860DA"/>
    <w:rsid w:val="00591A77"/>
    <w:rsid w:val="00597CB4"/>
    <w:rsid w:val="005B740E"/>
    <w:rsid w:val="005C6DBA"/>
    <w:rsid w:val="005C71AB"/>
    <w:rsid w:val="005D0DEE"/>
    <w:rsid w:val="005E0544"/>
    <w:rsid w:val="005F5278"/>
    <w:rsid w:val="00610C67"/>
    <w:rsid w:val="00651FD5"/>
    <w:rsid w:val="006816FC"/>
    <w:rsid w:val="006922C7"/>
    <w:rsid w:val="006C09F3"/>
    <w:rsid w:val="006D61A9"/>
    <w:rsid w:val="006E0307"/>
    <w:rsid w:val="006E3B0A"/>
    <w:rsid w:val="006E638B"/>
    <w:rsid w:val="00711E7D"/>
    <w:rsid w:val="007203B9"/>
    <w:rsid w:val="00766165"/>
    <w:rsid w:val="007D2DFD"/>
    <w:rsid w:val="007E35E4"/>
    <w:rsid w:val="007E511D"/>
    <w:rsid w:val="008A6F70"/>
    <w:rsid w:val="008D65BF"/>
    <w:rsid w:val="008F3DF6"/>
    <w:rsid w:val="008F764B"/>
    <w:rsid w:val="00916A89"/>
    <w:rsid w:val="00925A02"/>
    <w:rsid w:val="00927C6F"/>
    <w:rsid w:val="00973D76"/>
    <w:rsid w:val="00980886"/>
    <w:rsid w:val="009B4B9E"/>
    <w:rsid w:val="009C0BF5"/>
    <w:rsid w:val="009D0973"/>
    <w:rsid w:val="009D6483"/>
    <w:rsid w:val="009F4E93"/>
    <w:rsid w:val="009F62DA"/>
    <w:rsid w:val="00A219DC"/>
    <w:rsid w:val="00A3193D"/>
    <w:rsid w:val="00A503EF"/>
    <w:rsid w:val="00A5292B"/>
    <w:rsid w:val="00A7798B"/>
    <w:rsid w:val="00A843BA"/>
    <w:rsid w:val="00AC314C"/>
    <w:rsid w:val="00AE7B96"/>
    <w:rsid w:val="00B12FEB"/>
    <w:rsid w:val="00B652EE"/>
    <w:rsid w:val="00B72F41"/>
    <w:rsid w:val="00BB3EF8"/>
    <w:rsid w:val="00BB3FA2"/>
    <w:rsid w:val="00BB480C"/>
    <w:rsid w:val="00C27BE5"/>
    <w:rsid w:val="00C372A0"/>
    <w:rsid w:val="00C72774"/>
    <w:rsid w:val="00C81707"/>
    <w:rsid w:val="00CA5BB6"/>
    <w:rsid w:val="00CB7288"/>
    <w:rsid w:val="00CF73F0"/>
    <w:rsid w:val="00D072DD"/>
    <w:rsid w:val="00D128A3"/>
    <w:rsid w:val="00D44440"/>
    <w:rsid w:val="00D6069B"/>
    <w:rsid w:val="00D80D87"/>
    <w:rsid w:val="00D83A05"/>
    <w:rsid w:val="00D847FC"/>
    <w:rsid w:val="00DA2FAB"/>
    <w:rsid w:val="00DC033A"/>
    <w:rsid w:val="00DD0BF7"/>
    <w:rsid w:val="00DD4D37"/>
    <w:rsid w:val="00DD4F79"/>
    <w:rsid w:val="00DE500C"/>
    <w:rsid w:val="00E15312"/>
    <w:rsid w:val="00E16959"/>
    <w:rsid w:val="00E32974"/>
    <w:rsid w:val="00E60326"/>
    <w:rsid w:val="00E63195"/>
    <w:rsid w:val="00E704B9"/>
    <w:rsid w:val="00E97FE3"/>
    <w:rsid w:val="00EA371B"/>
    <w:rsid w:val="00EA6FC5"/>
    <w:rsid w:val="00EB647A"/>
    <w:rsid w:val="00F053ED"/>
    <w:rsid w:val="00F16E48"/>
    <w:rsid w:val="00F226CA"/>
    <w:rsid w:val="00F30277"/>
    <w:rsid w:val="00F307E7"/>
    <w:rsid w:val="00F36F28"/>
    <w:rsid w:val="00F658AA"/>
    <w:rsid w:val="00F75CED"/>
    <w:rsid w:val="00F856FF"/>
    <w:rsid w:val="00F874A0"/>
    <w:rsid w:val="00FA133E"/>
    <w:rsid w:val="00FA14F7"/>
    <w:rsid w:val="00FD2206"/>
    <w:rsid w:val="00FE28F9"/>
    <w:rsid w:val="00FF07EE"/>
    <w:rsid w:val="1DCE6110"/>
    <w:rsid w:val="262D59DC"/>
    <w:rsid w:val="2BCA0DB4"/>
    <w:rsid w:val="7B3053B5"/>
    <w:rsid w:val="7BCE7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uiPriority w:val="0"/>
    <w:pPr>
      <w:widowControl w:val="0"/>
      <w:spacing w:line="560" w:lineRule="exact"/>
      <w:ind w:firstLine="540"/>
      <w:jc w:val="both"/>
    </w:pPr>
    <w:rPr>
      <w:rFonts w:ascii="仿宋_GB2312" w:eastAsia="仿宋_GB2312"/>
      <w:sz w:val="30"/>
      <w:szCs w:val="30"/>
    </w:rPr>
  </w:style>
  <w:style w:type="paragraph" w:styleId="3">
    <w:name w:val="Balloon Text"/>
    <w:basedOn w:val="1"/>
    <w:link w:val="14"/>
    <w:qFormat/>
    <w:uiPriority w:val="0"/>
    <w:rPr>
      <w:sz w:val="18"/>
      <w:szCs w:val="18"/>
    </w:rPr>
  </w:style>
  <w:style w:type="paragraph" w:styleId="4">
    <w:name w:val="footer"/>
    <w:basedOn w:val="1"/>
    <w:link w:val="11"/>
    <w:uiPriority w:val="0"/>
    <w:pPr>
      <w:tabs>
        <w:tab w:val="center" w:pos="4153"/>
        <w:tab w:val="right" w:pos="8306"/>
      </w:tabs>
      <w:snapToGrid w:val="0"/>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pPr>
    <w:rPr>
      <w:rFonts w:ascii="宋体" w:hAnsi="宋体" w:cs="宋体"/>
    </w:rPr>
  </w:style>
  <w:style w:type="character" w:customStyle="1" w:styleId="9">
    <w:name w:val="tpc_content1"/>
    <w:basedOn w:val="8"/>
    <w:qFormat/>
    <w:uiPriority w:val="0"/>
    <w:rPr>
      <w:sz w:val="20"/>
      <w:szCs w:val="20"/>
    </w:rPr>
  </w:style>
  <w:style w:type="character" w:customStyle="1" w:styleId="10">
    <w:name w:val="页眉 字符"/>
    <w:basedOn w:val="8"/>
    <w:link w:val="5"/>
    <w:uiPriority w:val="0"/>
    <w:rPr>
      <w:sz w:val="18"/>
      <w:szCs w:val="18"/>
    </w:rPr>
  </w:style>
  <w:style w:type="character" w:customStyle="1" w:styleId="11">
    <w:name w:val="页脚 字符"/>
    <w:basedOn w:val="8"/>
    <w:link w:val="4"/>
    <w:qFormat/>
    <w:uiPriority w:val="0"/>
    <w:rPr>
      <w:sz w:val="18"/>
      <w:szCs w:val="18"/>
    </w:rPr>
  </w:style>
  <w:style w:type="paragraph" w:styleId="12">
    <w:name w:val="List Paragraph"/>
    <w:basedOn w:val="1"/>
    <w:qFormat/>
    <w:uiPriority w:val="34"/>
    <w:pPr>
      <w:ind w:firstLine="420" w:firstLineChars="200"/>
    </w:pPr>
  </w:style>
  <w:style w:type="paragraph" w:customStyle="1" w:styleId="13">
    <w:name w:val="msolistparagraph"/>
    <w:basedOn w:val="1"/>
    <w:qFormat/>
    <w:uiPriority w:val="0"/>
    <w:pPr>
      <w:widowControl w:val="0"/>
      <w:ind w:firstLine="420" w:firstLineChars="200"/>
      <w:jc w:val="both"/>
    </w:pPr>
    <w:rPr>
      <w:kern w:val="2"/>
      <w:sz w:val="21"/>
      <w:szCs w:val="20"/>
    </w:rPr>
  </w:style>
  <w:style w:type="character" w:customStyle="1" w:styleId="14">
    <w:name w:val="批注框文本 字符"/>
    <w:basedOn w:val="8"/>
    <w:link w:val="3"/>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YZKJ</Company>
  <Pages>4</Pages>
  <Words>267</Words>
  <Characters>1526</Characters>
  <Lines>12</Lines>
  <Paragraphs>3</Paragraphs>
  <TotalTime>24</TotalTime>
  <ScaleCrop>false</ScaleCrop>
  <LinksUpToDate>false</LinksUpToDate>
  <CharactersWithSpaces>1790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2020-10-16T03:33:00Z</dcterms:created>
  <dc:creator>duxy</dc:creator>
  <cp:lastModifiedBy>小宇溪</cp:lastModifiedBy>
  <cp:lastPrinted>2016-09-10T02:42:00Z</cp:lastPrinted>
  <dcterms:modified xsi:type="dcterms:W3CDTF">2020-10-20T05:35:03Z</dcterms:modified>
  <dc:title>材化学院2006级本科生主修专业确认工作意见</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