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227252E" w14:textId="77777777" w:rsidR="00284BF8" w:rsidRDefault="00B01898">
      <w:pPr>
        <w:pStyle w:val="3"/>
        <w:spacing w:before="0" w:after="0" w:line="360" w:lineRule="auto"/>
        <w:jc w:val="center"/>
        <w:rPr>
          <w:sz w:val="28"/>
          <w:szCs w:val="24"/>
        </w:rPr>
      </w:pPr>
      <w:r>
        <w:rPr>
          <w:sz w:val="28"/>
          <w:szCs w:val="24"/>
        </w:rPr>
        <w:t>2020</w:t>
      </w:r>
      <w:r>
        <w:rPr>
          <w:sz w:val="28"/>
          <w:szCs w:val="24"/>
        </w:rPr>
        <w:t>级药学院主修专业确认工作细则</w:t>
      </w:r>
    </w:p>
    <w:p w14:paraId="02CA07FE" w14:textId="77777777" w:rsidR="00284BF8" w:rsidRDefault="00B01898">
      <w:pPr>
        <w:spacing w:line="360" w:lineRule="auto"/>
        <w:jc w:val="center"/>
        <w:rPr>
          <w:sz w:val="24"/>
        </w:rPr>
      </w:pPr>
      <w:r>
        <w:rPr>
          <w:sz w:val="24"/>
        </w:rPr>
        <w:t>（</w:t>
      </w:r>
      <w:r>
        <w:rPr>
          <w:sz w:val="24"/>
        </w:rPr>
        <w:t>2020</w:t>
      </w:r>
      <w:r>
        <w:rPr>
          <w:sz w:val="24"/>
        </w:rPr>
        <w:t>年</w:t>
      </w:r>
      <w:r>
        <w:rPr>
          <w:sz w:val="24"/>
        </w:rPr>
        <w:t>10</w:t>
      </w:r>
      <w:r>
        <w:rPr>
          <w:sz w:val="24"/>
        </w:rPr>
        <w:t>月）</w:t>
      </w:r>
    </w:p>
    <w:p w14:paraId="1BA14A2E" w14:textId="77777777" w:rsidR="00284BF8" w:rsidRDefault="00B01898">
      <w:pPr>
        <w:spacing w:line="360" w:lineRule="auto"/>
        <w:ind w:firstLineChars="200" w:firstLine="480"/>
        <w:rPr>
          <w:sz w:val="24"/>
        </w:rPr>
      </w:pPr>
      <w:r>
        <w:rPr>
          <w:sz w:val="24"/>
        </w:rPr>
        <w:t>2020</w:t>
      </w:r>
      <w:r>
        <w:rPr>
          <w:sz w:val="24"/>
        </w:rPr>
        <w:t>级药学院主修专业确认工作由药学院主修专业确认工作小组负责进行。按照</w:t>
      </w:r>
      <w:proofErr w:type="gramStart"/>
      <w:r>
        <w:rPr>
          <w:sz w:val="24"/>
        </w:rPr>
        <w:t>浙大发本</w:t>
      </w:r>
      <w:proofErr w:type="gramEnd"/>
      <w:r>
        <w:rPr>
          <w:rFonts w:hint="eastAsia"/>
          <w:sz w:val="24"/>
        </w:rPr>
        <w:t>[</w:t>
      </w:r>
      <w:r>
        <w:rPr>
          <w:sz w:val="24"/>
        </w:rPr>
        <w:t>2016</w:t>
      </w:r>
      <w:r>
        <w:rPr>
          <w:rFonts w:hint="eastAsia"/>
          <w:sz w:val="24"/>
        </w:rPr>
        <w:t>]</w:t>
      </w:r>
      <w:r>
        <w:rPr>
          <w:sz w:val="24"/>
        </w:rPr>
        <w:t xml:space="preserve">109 </w:t>
      </w:r>
      <w:r>
        <w:rPr>
          <w:sz w:val="24"/>
        </w:rPr>
        <w:t>号《浙江大学本科生主修专业确认办法》执行。</w:t>
      </w:r>
    </w:p>
    <w:p w14:paraId="15A79551" w14:textId="77777777" w:rsidR="00284BF8" w:rsidRDefault="00B01898">
      <w:pPr>
        <w:spacing w:beforeLines="50" w:before="156" w:afterLines="50" w:after="156" w:line="360" w:lineRule="auto"/>
        <w:rPr>
          <w:b/>
          <w:sz w:val="24"/>
        </w:rPr>
      </w:pPr>
      <w:r>
        <w:rPr>
          <w:b/>
          <w:sz w:val="24"/>
        </w:rPr>
        <w:t>一、</w:t>
      </w:r>
      <w:bookmarkStart w:id="0" w:name="_Hlk53567744"/>
      <w:r>
        <w:rPr>
          <w:b/>
          <w:sz w:val="24"/>
        </w:rPr>
        <w:t>工作</w:t>
      </w:r>
      <w:bookmarkEnd w:id="0"/>
      <w:r>
        <w:rPr>
          <w:rFonts w:hint="eastAsia"/>
          <w:b/>
          <w:sz w:val="24"/>
        </w:rPr>
        <w:t>小组</w:t>
      </w:r>
    </w:p>
    <w:p w14:paraId="5917FD4C" w14:textId="77777777" w:rsidR="00284BF8" w:rsidRDefault="00B01898">
      <w:pPr>
        <w:spacing w:line="360" w:lineRule="auto"/>
        <w:rPr>
          <w:sz w:val="24"/>
        </w:rPr>
      </w:pPr>
      <w:r>
        <w:rPr>
          <w:sz w:val="24"/>
        </w:rPr>
        <w:t>组</w:t>
      </w:r>
      <w:r>
        <w:rPr>
          <w:rFonts w:hint="eastAsia"/>
          <w:sz w:val="24"/>
        </w:rPr>
        <w:t xml:space="preserve"> </w:t>
      </w:r>
      <w:r>
        <w:rPr>
          <w:sz w:val="24"/>
        </w:rPr>
        <w:t xml:space="preserve"> </w:t>
      </w:r>
      <w:r>
        <w:rPr>
          <w:sz w:val="24"/>
        </w:rPr>
        <w:t>长：</w:t>
      </w:r>
      <w:r>
        <w:rPr>
          <w:rFonts w:hint="eastAsia"/>
          <w:sz w:val="24"/>
        </w:rPr>
        <w:t>范骁辉</w:t>
      </w:r>
      <w:r>
        <w:rPr>
          <w:sz w:val="24"/>
        </w:rPr>
        <w:t>（分管教学副院长）</w:t>
      </w:r>
    </w:p>
    <w:p w14:paraId="085D2148" w14:textId="77777777" w:rsidR="00284BF8" w:rsidRDefault="00B01898">
      <w:pPr>
        <w:spacing w:line="360" w:lineRule="auto"/>
        <w:rPr>
          <w:sz w:val="24"/>
        </w:rPr>
      </w:pPr>
      <w:r>
        <w:rPr>
          <w:sz w:val="24"/>
        </w:rPr>
        <w:t>副组长：</w:t>
      </w:r>
      <w:r>
        <w:rPr>
          <w:rFonts w:hint="eastAsia"/>
          <w:sz w:val="24"/>
        </w:rPr>
        <w:t>杨慧蓉</w:t>
      </w:r>
      <w:r>
        <w:rPr>
          <w:sz w:val="24"/>
        </w:rPr>
        <w:t>（分管</w:t>
      </w:r>
      <w:proofErr w:type="gramStart"/>
      <w:r>
        <w:rPr>
          <w:sz w:val="24"/>
        </w:rPr>
        <w:t>学生副</w:t>
      </w:r>
      <w:proofErr w:type="gramEnd"/>
      <w:r>
        <w:rPr>
          <w:sz w:val="24"/>
        </w:rPr>
        <w:t>书记）</w:t>
      </w:r>
    </w:p>
    <w:p w14:paraId="77D2845F" w14:textId="77777777" w:rsidR="00284BF8" w:rsidRDefault="00B01898">
      <w:pPr>
        <w:spacing w:line="360" w:lineRule="auto"/>
        <w:ind w:firstLineChars="400" w:firstLine="960"/>
        <w:rPr>
          <w:sz w:val="24"/>
        </w:rPr>
      </w:pPr>
      <w:r>
        <w:rPr>
          <w:rFonts w:hint="eastAsia"/>
          <w:sz w:val="24"/>
        </w:rPr>
        <w:t>张翔南</w:t>
      </w:r>
      <w:r>
        <w:rPr>
          <w:sz w:val="24"/>
        </w:rPr>
        <w:t>（</w:t>
      </w:r>
      <w:r>
        <w:rPr>
          <w:rFonts w:hint="eastAsia"/>
          <w:sz w:val="24"/>
        </w:rPr>
        <w:t>药学系主任</w:t>
      </w:r>
      <w:r>
        <w:rPr>
          <w:sz w:val="24"/>
        </w:rPr>
        <w:t>）</w:t>
      </w:r>
    </w:p>
    <w:p w14:paraId="622D19B6" w14:textId="77777777" w:rsidR="00284BF8" w:rsidRDefault="00B01898">
      <w:pPr>
        <w:spacing w:line="360" w:lineRule="auto"/>
        <w:rPr>
          <w:sz w:val="24"/>
        </w:rPr>
      </w:pPr>
      <w:r>
        <w:rPr>
          <w:sz w:val="24"/>
        </w:rPr>
        <w:t>成员：丁玲、董晓武、彭丽华、</w:t>
      </w:r>
      <w:r>
        <w:rPr>
          <w:rFonts w:hint="eastAsia"/>
          <w:sz w:val="24"/>
        </w:rPr>
        <w:t>吴昊姝、王毅、</w:t>
      </w:r>
      <w:r>
        <w:rPr>
          <w:sz w:val="24"/>
        </w:rPr>
        <w:t>周展</w:t>
      </w:r>
      <w:r>
        <w:rPr>
          <w:rFonts w:hint="eastAsia"/>
          <w:sz w:val="24"/>
        </w:rPr>
        <w:t>、</w:t>
      </w:r>
      <w:r>
        <w:rPr>
          <w:sz w:val="24"/>
        </w:rPr>
        <w:t>朱卡林、</w:t>
      </w:r>
      <w:r>
        <w:rPr>
          <w:rFonts w:hint="eastAsia"/>
          <w:sz w:val="24"/>
        </w:rPr>
        <w:t>杜亚男、徐志飞、蒋心驰、康玉、赵璐</w:t>
      </w:r>
    </w:p>
    <w:p w14:paraId="774035DA" w14:textId="77777777" w:rsidR="00284BF8" w:rsidRDefault="00B01898">
      <w:pPr>
        <w:spacing w:beforeLines="50" w:before="156" w:afterLines="50" w:after="156" w:line="360" w:lineRule="auto"/>
        <w:rPr>
          <w:b/>
          <w:sz w:val="24"/>
        </w:rPr>
      </w:pPr>
      <w:r>
        <w:rPr>
          <w:b/>
          <w:sz w:val="24"/>
        </w:rPr>
        <w:t>二、专业容量安排</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766"/>
        <w:gridCol w:w="1267"/>
        <w:gridCol w:w="2006"/>
        <w:gridCol w:w="1265"/>
        <w:gridCol w:w="1310"/>
        <w:gridCol w:w="881"/>
      </w:tblGrid>
      <w:tr w:rsidR="00284BF8" w14:paraId="1132534C" w14:textId="77777777">
        <w:trPr>
          <w:trHeight w:val="769"/>
          <w:jc w:val="center"/>
        </w:trPr>
        <w:tc>
          <w:tcPr>
            <w:tcW w:w="1451" w:type="dxa"/>
            <w:shd w:val="clear" w:color="auto" w:fill="auto"/>
            <w:vAlign w:val="center"/>
          </w:tcPr>
          <w:p w14:paraId="755EEB1F" w14:textId="77777777" w:rsidR="00284BF8" w:rsidRDefault="00B01898">
            <w:pPr>
              <w:spacing w:line="360" w:lineRule="auto"/>
              <w:jc w:val="center"/>
              <w:rPr>
                <w:b/>
                <w:color w:val="000000"/>
                <w:sz w:val="24"/>
              </w:rPr>
            </w:pPr>
            <w:r>
              <w:rPr>
                <w:b/>
                <w:color w:val="000000"/>
                <w:sz w:val="24"/>
              </w:rPr>
              <w:t>专业</w:t>
            </w:r>
          </w:p>
        </w:tc>
        <w:tc>
          <w:tcPr>
            <w:tcW w:w="766" w:type="dxa"/>
            <w:shd w:val="clear" w:color="auto" w:fill="auto"/>
            <w:vAlign w:val="center"/>
          </w:tcPr>
          <w:p w14:paraId="556EF913" w14:textId="77777777" w:rsidR="00284BF8" w:rsidRDefault="00B01898">
            <w:pPr>
              <w:spacing w:line="360" w:lineRule="auto"/>
              <w:jc w:val="center"/>
              <w:rPr>
                <w:b/>
                <w:color w:val="000000"/>
                <w:sz w:val="24"/>
              </w:rPr>
            </w:pPr>
            <w:r>
              <w:rPr>
                <w:b/>
                <w:color w:val="000000"/>
                <w:sz w:val="24"/>
              </w:rPr>
              <w:t>学制</w:t>
            </w:r>
          </w:p>
        </w:tc>
        <w:tc>
          <w:tcPr>
            <w:tcW w:w="1267" w:type="dxa"/>
            <w:shd w:val="clear" w:color="auto" w:fill="auto"/>
            <w:vAlign w:val="center"/>
          </w:tcPr>
          <w:p w14:paraId="1D562EA3" w14:textId="77777777" w:rsidR="00284BF8" w:rsidRDefault="00B01898">
            <w:pPr>
              <w:spacing w:line="360" w:lineRule="auto"/>
              <w:jc w:val="center"/>
              <w:rPr>
                <w:b/>
                <w:color w:val="000000"/>
                <w:sz w:val="24"/>
              </w:rPr>
            </w:pPr>
            <w:r>
              <w:rPr>
                <w:b/>
                <w:color w:val="000000"/>
                <w:sz w:val="24"/>
              </w:rPr>
              <w:t>招生人数</w:t>
            </w:r>
          </w:p>
        </w:tc>
        <w:tc>
          <w:tcPr>
            <w:tcW w:w="3271" w:type="dxa"/>
            <w:gridSpan w:val="2"/>
            <w:vAlign w:val="center"/>
          </w:tcPr>
          <w:p w14:paraId="0E47E9CD" w14:textId="77777777" w:rsidR="00284BF8" w:rsidRDefault="00B01898">
            <w:pPr>
              <w:spacing w:line="360" w:lineRule="auto"/>
              <w:jc w:val="center"/>
              <w:rPr>
                <w:b/>
                <w:color w:val="000000"/>
                <w:sz w:val="24"/>
              </w:rPr>
            </w:pPr>
            <w:r>
              <w:rPr>
                <w:b/>
                <w:color w:val="000000"/>
                <w:sz w:val="24"/>
              </w:rPr>
              <w:t>第一轮类内容量</w:t>
            </w:r>
          </w:p>
        </w:tc>
        <w:tc>
          <w:tcPr>
            <w:tcW w:w="1310" w:type="dxa"/>
            <w:vAlign w:val="center"/>
          </w:tcPr>
          <w:p w14:paraId="77E114FE" w14:textId="77777777" w:rsidR="00284BF8" w:rsidRDefault="00B01898">
            <w:pPr>
              <w:spacing w:line="360" w:lineRule="auto"/>
              <w:jc w:val="center"/>
              <w:rPr>
                <w:b/>
                <w:color w:val="000000"/>
                <w:sz w:val="24"/>
              </w:rPr>
            </w:pPr>
            <w:r>
              <w:rPr>
                <w:b/>
                <w:color w:val="000000"/>
                <w:sz w:val="24"/>
              </w:rPr>
              <w:t>第二轮</w:t>
            </w:r>
          </w:p>
          <w:p w14:paraId="10EF44F8" w14:textId="77777777" w:rsidR="00284BF8" w:rsidRDefault="00B01898">
            <w:pPr>
              <w:spacing w:line="360" w:lineRule="auto"/>
              <w:jc w:val="center"/>
              <w:rPr>
                <w:b/>
                <w:color w:val="000000"/>
                <w:sz w:val="24"/>
              </w:rPr>
            </w:pPr>
            <w:r>
              <w:rPr>
                <w:b/>
                <w:color w:val="000000"/>
                <w:sz w:val="24"/>
              </w:rPr>
              <w:t>跨类容量</w:t>
            </w:r>
          </w:p>
        </w:tc>
        <w:tc>
          <w:tcPr>
            <w:tcW w:w="881" w:type="dxa"/>
            <w:vAlign w:val="center"/>
          </w:tcPr>
          <w:p w14:paraId="463598C3" w14:textId="77777777" w:rsidR="00284BF8" w:rsidRDefault="00B01898">
            <w:pPr>
              <w:spacing w:line="360" w:lineRule="auto"/>
              <w:jc w:val="center"/>
              <w:rPr>
                <w:b/>
                <w:color w:val="000000"/>
                <w:sz w:val="24"/>
              </w:rPr>
            </w:pPr>
            <w:r>
              <w:rPr>
                <w:b/>
                <w:color w:val="000000"/>
                <w:sz w:val="24"/>
              </w:rPr>
              <w:t>转专业容量</w:t>
            </w:r>
          </w:p>
        </w:tc>
      </w:tr>
      <w:tr w:rsidR="00284BF8" w14:paraId="6ACE7BCC" w14:textId="77777777">
        <w:trPr>
          <w:trHeight w:val="1583"/>
          <w:jc w:val="center"/>
        </w:trPr>
        <w:tc>
          <w:tcPr>
            <w:tcW w:w="1451" w:type="dxa"/>
            <w:shd w:val="clear" w:color="auto" w:fill="auto"/>
            <w:vAlign w:val="center"/>
          </w:tcPr>
          <w:p w14:paraId="52B25802" w14:textId="77777777" w:rsidR="00284BF8" w:rsidRDefault="00B01898">
            <w:pPr>
              <w:spacing w:line="360" w:lineRule="auto"/>
              <w:jc w:val="center"/>
              <w:rPr>
                <w:color w:val="000000"/>
                <w:sz w:val="24"/>
              </w:rPr>
            </w:pPr>
            <w:r>
              <w:rPr>
                <w:color w:val="000000"/>
                <w:sz w:val="24"/>
              </w:rPr>
              <w:t>药学</w:t>
            </w:r>
          </w:p>
        </w:tc>
        <w:tc>
          <w:tcPr>
            <w:tcW w:w="766" w:type="dxa"/>
            <w:shd w:val="clear" w:color="auto" w:fill="auto"/>
            <w:vAlign w:val="center"/>
          </w:tcPr>
          <w:p w14:paraId="1EE736EB" w14:textId="77777777" w:rsidR="00284BF8" w:rsidRDefault="00B01898">
            <w:pPr>
              <w:spacing w:line="360" w:lineRule="auto"/>
              <w:jc w:val="center"/>
              <w:rPr>
                <w:color w:val="000000"/>
                <w:sz w:val="24"/>
              </w:rPr>
            </w:pPr>
            <w:r>
              <w:rPr>
                <w:color w:val="000000"/>
                <w:sz w:val="24"/>
              </w:rPr>
              <w:t>4</w:t>
            </w:r>
          </w:p>
        </w:tc>
        <w:tc>
          <w:tcPr>
            <w:tcW w:w="1267" w:type="dxa"/>
            <w:shd w:val="clear" w:color="auto" w:fill="auto"/>
            <w:vAlign w:val="center"/>
          </w:tcPr>
          <w:p w14:paraId="2732A852" w14:textId="08CE536E" w:rsidR="00284BF8" w:rsidRDefault="00B01898">
            <w:pPr>
              <w:spacing w:line="360" w:lineRule="auto"/>
              <w:jc w:val="center"/>
              <w:rPr>
                <w:color w:val="000000"/>
                <w:sz w:val="24"/>
              </w:rPr>
            </w:pPr>
            <w:r>
              <w:rPr>
                <w:rFonts w:hint="eastAsia"/>
                <w:color w:val="000000"/>
                <w:sz w:val="24"/>
              </w:rPr>
              <w:t>11</w:t>
            </w:r>
            <w:r w:rsidR="00F80940">
              <w:rPr>
                <w:color w:val="000000"/>
                <w:sz w:val="24"/>
              </w:rPr>
              <w:t>2</w:t>
            </w:r>
          </w:p>
        </w:tc>
        <w:tc>
          <w:tcPr>
            <w:tcW w:w="2006" w:type="dxa"/>
            <w:vAlign w:val="center"/>
          </w:tcPr>
          <w:p w14:paraId="5D70082F" w14:textId="384E0C49" w:rsidR="00284BF8" w:rsidRPr="00B05590" w:rsidRDefault="00B01898">
            <w:pPr>
              <w:spacing w:line="360" w:lineRule="auto"/>
              <w:jc w:val="center"/>
              <w:rPr>
                <w:color w:val="000000" w:themeColor="text1"/>
                <w:sz w:val="24"/>
              </w:rPr>
            </w:pPr>
            <w:r w:rsidRPr="00B05590">
              <w:rPr>
                <w:rFonts w:hint="eastAsia"/>
                <w:color w:val="000000" w:themeColor="text1"/>
                <w:sz w:val="24"/>
              </w:rPr>
              <w:t>7</w:t>
            </w:r>
            <w:r w:rsidR="00F80940" w:rsidRPr="00B05590">
              <w:rPr>
                <w:color w:val="000000" w:themeColor="text1"/>
                <w:sz w:val="24"/>
              </w:rPr>
              <w:t>5</w:t>
            </w:r>
            <w:r w:rsidRPr="00B05590">
              <w:rPr>
                <w:color w:val="000000" w:themeColor="text1"/>
                <w:sz w:val="24"/>
              </w:rPr>
              <w:t>+</w:t>
            </w:r>
            <w:r w:rsidR="00F80940" w:rsidRPr="00B05590">
              <w:rPr>
                <w:color w:val="000000" w:themeColor="text1"/>
                <w:sz w:val="24"/>
              </w:rPr>
              <w:t>28</w:t>
            </w:r>
            <w:r w:rsidRPr="00B05590">
              <w:rPr>
                <w:color w:val="000000" w:themeColor="text1"/>
                <w:sz w:val="24"/>
              </w:rPr>
              <w:t>三位一体</w:t>
            </w:r>
          </w:p>
          <w:p w14:paraId="2DF6EE55" w14:textId="446277A3" w:rsidR="00284BF8" w:rsidRPr="00B05590" w:rsidRDefault="00B01898">
            <w:pPr>
              <w:spacing w:line="360" w:lineRule="auto"/>
              <w:jc w:val="center"/>
              <w:rPr>
                <w:color w:val="FF0000"/>
                <w:sz w:val="24"/>
              </w:rPr>
            </w:pPr>
            <w:r w:rsidRPr="00B05590">
              <w:rPr>
                <w:color w:val="000000" w:themeColor="text1"/>
                <w:sz w:val="24"/>
              </w:rPr>
              <w:t>+</w:t>
            </w:r>
            <w:r w:rsidR="00F80940" w:rsidRPr="00B05590">
              <w:rPr>
                <w:color w:val="000000" w:themeColor="text1"/>
                <w:sz w:val="24"/>
              </w:rPr>
              <w:t>7</w:t>
            </w:r>
            <w:r w:rsidRPr="00B05590">
              <w:rPr>
                <w:color w:val="000000" w:themeColor="text1"/>
                <w:sz w:val="24"/>
              </w:rPr>
              <w:t>民族</w:t>
            </w:r>
            <w:r w:rsidRPr="00B05590">
              <w:rPr>
                <w:rFonts w:hint="eastAsia"/>
                <w:color w:val="000000" w:themeColor="text1"/>
                <w:sz w:val="24"/>
              </w:rPr>
              <w:t>生</w:t>
            </w:r>
            <w:r w:rsidRPr="00B05590">
              <w:rPr>
                <w:color w:val="000000" w:themeColor="text1"/>
                <w:sz w:val="24"/>
              </w:rPr>
              <w:t>+</w:t>
            </w:r>
            <w:r w:rsidRPr="00B05590">
              <w:rPr>
                <w:rFonts w:hint="eastAsia"/>
                <w:color w:val="000000" w:themeColor="text1"/>
                <w:sz w:val="24"/>
              </w:rPr>
              <w:t>2</w:t>
            </w:r>
            <w:r w:rsidRPr="00B05590">
              <w:rPr>
                <w:color w:val="000000" w:themeColor="text1"/>
                <w:sz w:val="24"/>
              </w:rPr>
              <w:t>港澳台</w:t>
            </w:r>
          </w:p>
        </w:tc>
        <w:tc>
          <w:tcPr>
            <w:tcW w:w="1265" w:type="dxa"/>
          </w:tcPr>
          <w:p w14:paraId="752204FF" w14:textId="77777777" w:rsidR="00284BF8" w:rsidRPr="00B05590" w:rsidRDefault="00284BF8">
            <w:pPr>
              <w:spacing w:line="360" w:lineRule="auto"/>
              <w:jc w:val="center"/>
              <w:rPr>
                <w:color w:val="000000"/>
                <w:sz w:val="24"/>
              </w:rPr>
            </w:pPr>
          </w:p>
          <w:p w14:paraId="3526ADD6" w14:textId="1C313DA5" w:rsidR="00284BF8" w:rsidRPr="00B05590" w:rsidRDefault="00B01898">
            <w:pPr>
              <w:spacing w:line="360" w:lineRule="auto"/>
              <w:jc w:val="center"/>
              <w:rPr>
                <w:color w:val="FF0000"/>
                <w:sz w:val="24"/>
              </w:rPr>
            </w:pPr>
            <w:r w:rsidRPr="00B05590">
              <w:rPr>
                <w:rFonts w:hint="eastAsia"/>
                <w:color w:val="000000"/>
                <w:sz w:val="24"/>
              </w:rPr>
              <w:t>11</w:t>
            </w:r>
            <w:r w:rsidR="00F80940" w:rsidRPr="00B05590">
              <w:rPr>
                <w:color w:val="000000"/>
                <w:sz w:val="24"/>
              </w:rPr>
              <w:t>2</w:t>
            </w:r>
          </w:p>
        </w:tc>
        <w:tc>
          <w:tcPr>
            <w:tcW w:w="1310" w:type="dxa"/>
            <w:vAlign w:val="center"/>
          </w:tcPr>
          <w:p w14:paraId="27E7C6AE" w14:textId="77777777" w:rsidR="00284BF8" w:rsidRPr="00B05590" w:rsidRDefault="00B01898">
            <w:pPr>
              <w:spacing w:line="360" w:lineRule="auto"/>
              <w:jc w:val="center"/>
              <w:rPr>
                <w:color w:val="FF0000"/>
                <w:sz w:val="24"/>
              </w:rPr>
            </w:pPr>
            <w:r w:rsidRPr="00B05590">
              <w:rPr>
                <w:color w:val="000000"/>
                <w:sz w:val="24"/>
              </w:rPr>
              <w:t>10</w:t>
            </w:r>
          </w:p>
        </w:tc>
        <w:tc>
          <w:tcPr>
            <w:tcW w:w="881" w:type="dxa"/>
            <w:vAlign w:val="center"/>
          </w:tcPr>
          <w:p w14:paraId="01BDD62F" w14:textId="77777777" w:rsidR="00284BF8" w:rsidRPr="00B05590" w:rsidRDefault="00B01898">
            <w:pPr>
              <w:spacing w:line="360" w:lineRule="auto"/>
              <w:jc w:val="center"/>
              <w:rPr>
                <w:color w:val="000000"/>
                <w:sz w:val="24"/>
              </w:rPr>
            </w:pPr>
            <w:r w:rsidRPr="00B05590">
              <w:rPr>
                <w:color w:val="000000"/>
                <w:sz w:val="24"/>
              </w:rPr>
              <w:t>余量</w:t>
            </w:r>
          </w:p>
        </w:tc>
      </w:tr>
    </w:tbl>
    <w:p w14:paraId="0E704032" w14:textId="77777777" w:rsidR="00284BF8" w:rsidRDefault="00B01898">
      <w:pPr>
        <w:adjustRightInd w:val="0"/>
        <w:snapToGrid w:val="0"/>
        <w:spacing w:line="360" w:lineRule="auto"/>
        <w:rPr>
          <w:sz w:val="24"/>
        </w:rPr>
      </w:pPr>
      <w:r>
        <w:rPr>
          <w:color w:val="000000"/>
          <w:sz w:val="24"/>
        </w:rPr>
        <w:t>注：</w:t>
      </w:r>
      <w:r>
        <w:rPr>
          <w:sz w:val="24"/>
        </w:rPr>
        <w:t xml:space="preserve"> </w:t>
      </w:r>
    </w:p>
    <w:p w14:paraId="035B64C2" w14:textId="77777777" w:rsidR="00284BF8" w:rsidRDefault="00B01898">
      <w:pPr>
        <w:adjustRightInd w:val="0"/>
        <w:snapToGrid w:val="0"/>
        <w:spacing w:beforeLines="50" w:before="156" w:afterLines="50" w:after="156" w:line="360" w:lineRule="auto"/>
        <w:rPr>
          <w:bCs/>
          <w:sz w:val="24"/>
        </w:rPr>
      </w:pPr>
      <w:r>
        <w:rPr>
          <w:rFonts w:hint="eastAsia"/>
          <w:bCs/>
          <w:sz w:val="24"/>
        </w:rPr>
        <w:t>1.</w:t>
      </w:r>
      <w:r>
        <w:rPr>
          <w:bCs/>
          <w:sz w:val="24"/>
        </w:rPr>
        <w:t xml:space="preserve"> </w:t>
      </w:r>
      <w:r>
        <w:rPr>
          <w:rFonts w:hint="eastAsia"/>
          <w:bCs/>
          <w:sz w:val="24"/>
        </w:rPr>
        <w:t>第一轮（只能类内确认），</w:t>
      </w:r>
      <w:r>
        <w:rPr>
          <w:sz w:val="24"/>
        </w:rPr>
        <w:t>申请人数上限为各专业类内容量数；</w:t>
      </w:r>
    </w:p>
    <w:p w14:paraId="6435087E" w14:textId="77777777" w:rsidR="00284BF8" w:rsidRDefault="00B01898">
      <w:pPr>
        <w:adjustRightInd w:val="0"/>
        <w:snapToGrid w:val="0"/>
        <w:spacing w:beforeLines="50" w:before="156" w:afterLines="50" w:after="156" w:line="360" w:lineRule="auto"/>
        <w:rPr>
          <w:bCs/>
          <w:sz w:val="24"/>
        </w:rPr>
      </w:pPr>
      <w:r>
        <w:rPr>
          <w:rFonts w:hint="eastAsia"/>
          <w:bCs/>
          <w:sz w:val="24"/>
        </w:rPr>
        <w:t>学生报名时间：</w:t>
      </w:r>
      <w:r>
        <w:rPr>
          <w:rFonts w:hint="eastAsia"/>
          <w:bCs/>
          <w:sz w:val="24"/>
        </w:rPr>
        <w:t>10</w:t>
      </w:r>
      <w:r>
        <w:rPr>
          <w:rFonts w:hint="eastAsia"/>
          <w:bCs/>
          <w:sz w:val="24"/>
        </w:rPr>
        <w:t>月</w:t>
      </w:r>
      <w:r>
        <w:rPr>
          <w:rFonts w:hint="eastAsia"/>
          <w:bCs/>
          <w:sz w:val="24"/>
        </w:rPr>
        <w:t>21</w:t>
      </w:r>
      <w:r>
        <w:rPr>
          <w:rFonts w:hint="eastAsia"/>
          <w:bCs/>
          <w:sz w:val="24"/>
        </w:rPr>
        <w:t>日</w:t>
      </w:r>
      <w:r>
        <w:rPr>
          <w:rFonts w:hint="eastAsia"/>
          <w:bCs/>
          <w:sz w:val="24"/>
        </w:rPr>
        <w:t>9:00</w:t>
      </w:r>
      <w:r>
        <w:rPr>
          <w:rFonts w:hint="eastAsia"/>
          <w:bCs/>
          <w:sz w:val="24"/>
        </w:rPr>
        <w:t>—</w:t>
      </w:r>
      <w:r>
        <w:rPr>
          <w:rFonts w:hint="eastAsia"/>
          <w:bCs/>
          <w:sz w:val="24"/>
        </w:rPr>
        <w:t xml:space="preserve"> 10</w:t>
      </w:r>
      <w:r>
        <w:rPr>
          <w:rFonts w:hint="eastAsia"/>
          <w:bCs/>
          <w:sz w:val="24"/>
        </w:rPr>
        <w:t>月</w:t>
      </w:r>
      <w:r>
        <w:rPr>
          <w:rFonts w:hint="eastAsia"/>
          <w:bCs/>
          <w:sz w:val="24"/>
        </w:rPr>
        <w:t>23</w:t>
      </w:r>
      <w:r>
        <w:rPr>
          <w:rFonts w:hint="eastAsia"/>
          <w:bCs/>
          <w:sz w:val="24"/>
        </w:rPr>
        <w:t>日</w:t>
      </w:r>
      <w:r>
        <w:rPr>
          <w:rFonts w:hint="eastAsia"/>
          <w:bCs/>
          <w:sz w:val="24"/>
        </w:rPr>
        <w:t>15:00</w:t>
      </w:r>
    </w:p>
    <w:p w14:paraId="6193B572" w14:textId="77777777" w:rsidR="00284BF8" w:rsidRDefault="00B01898">
      <w:pPr>
        <w:adjustRightInd w:val="0"/>
        <w:snapToGrid w:val="0"/>
        <w:spacing w:beforeLines="50" w:before="156" w:afterLines="50" w:after="156" w:line="360" w:lineRule="auto"/>
        <w:rPr>
          <w:bCs/>
          <w:sz w:val="24"/>
        </w:rPr>
      </w:pPr>
      <w:r>
        <w:rPr>
          <w:rFonts w:hint="eastAsia"/>
          <w:bCs/>
          <w:sz w:val="24"/>
        </w:rPr>
        <w:t>专业遴选、公示时间：</w:t>
      </w:r>
      <w:r>
        <w:rPr>
          <w:rFonts w:hint="eastAsia"/>
          <w:bCs/>
          <w:sz w:val="24"/>
        </w:rPr>
        <w:t>10</w:t>
      </w:r>
      <w:r>
        <w:rPr>
          <w:rFonts w:hint="eastAsia"/>
          <w:bCs/>
          <w:sz w:val="24"/>
        </w:rPr>
        <w:t>月</w:t>
      </w:r>
      <w:r>
        <w:rPr>
          <w:rFonts w:hint="eastAsia"/>
          <w:bCs/>
          <w:sz w:val="24"/>
        </w:rPr>
        <w:t>23</w:t>
      </w:r>
      <w:r>
        <w:rPr>
          <w:rFonts w:hint="eastAsia"/>
          <w:bCs/>
          <w:sz w:val="24"/>
        </w:rPr>
        <w:t>日—</w:t>
      </w:r>
      <w:r>
        <w:rPr>
          <w:rFonts w:hint="eastAsia"/>
          <w:bCs/>
          <w:sz w:val="24"/>
        </w:rPr>
        <w:t>11</w:t>
      </w:r>
      <w:r>
        <w:rPr>
          <w:rFonts w:hint="eastAsia"/>
          <w:bCs/>
          <w:sz w:val="24"/>
        </w:rPr>
        <w:t>月</w:t>
      </w:r>
      <w:r>
        <w:rPr>
          <w:rFonts w:hint="eastAsia"/>
          <w:bCs/>
          <w:sz w:val="24"/>
        </w:rPr>
        <w:t>6</w:t>
      </w:r>
      <w:r>
        <w:rPr>
          <w:rFonts w:hint="eastAsia"/>
          <w:bCs/>
          <w:sz w:val="24"/>
        </w:rPr>
        <w:t>日</w:t>
      </w:r>
      <w:r>
        <w:rPr>
          <w:rFonts w:hint="eastAsia"/>
          <w:bCs/>
          <w:sz w:val="24"/>
        </w:rPr>
        <w:t>12:</w:t>
      </w:r>
      <w:r>
        <w:rPr>
          <w:bCs/>
          <w:sz w:val="24"/>
        </w:rPr>
        <w:t>00</w:t>
      </w:r>
    </w:p>
    <w:p w14:paraId="7AA4B0ED" w14:textId="77777777" w:rsidR="00284BF8" w:rsidRDefault="00B01898">
      <w:pPr>
        <w:adjustRightInd w:val="0"/>
        <w:snapToGrid w:val="0"/>
        <w:spacing w:beforeLines="50" w:before="156" w:afterLines="50" w:after="156" w:line="360" w:lineRule="auto"/>
        <w:rPr>
          <w:bCs/>
          <w:sz w:val="24"/>
        </w:rPr>
      </w:pPr>
      <w:r>
        <w:rPr>
          <w:rFonts w:hint="eastAsia"/>
          <w:bCs/>
          <w:sz w:val="24"/>
        </w:rPr>
        <w:t>学校公示时间：</w:t>
      </w:r>
      <w:r>
        <w:rPr>
          <w:rFonts w:hint="eastAsia"/>
          <w:bCs/>
          <w:sz w:val="24"/>
        </w:rPr>
        <w:t>11</w:t>
      </w:r>
      <w:r>
        <w:rPr>
          <w:rFonts w:hint="eastAsia"/>
          <w:bCs/>
          <w:sz w:val="24"/>
        </w:rPr>
        <w:t>月</w:t>
      </w:r>
      <w:r>
        <w:rPr>
          <w:rFonts w:hint="eastAsia"/>
          <w:bCs/>
          <w:sz w:val="24"/>
        </w:rPr>
        <w:t>7</w:t>
      </w:r>
      <w:r>
        <w:rPr>
          <w:rFonts w:hint="eastAsia"/>
          <w:bCs/>
          <w:sz w:val="24"/>
        </w:rPr>
        <w:t>日—</w:t>
      </w:r>
      <w:r>
        <w:rPr>
          <w:rFonts w:hint="eastAsia"/>
          <w:bCs/>
          <w:sz w:val="24"/>
        </w:rPr>
        <w:t>11</w:t>
      </w:r>
      <w:r>
        <w:rPr>
          <w:rFonts w:hint="eastAsia"/>
          <w:bCs/>
          <w:sz w:val="24"/>
        </w:rPr>
        <w:t>月</w:t>
      </w:r>
      <w:r>
        <w:rPr>
          <w:rFonts w:hint="eastAsia"/>
          <w:bCs/>
          <w:sz w:val="24"/>
        </w:rPr>
        <w:t>14</w:t>
      </w:r>
      <w:r>
        <w:rPr>
          <w:rFonts w:hint="eastAsia"/>
          <w:bCs/>
          <w:sz w:val="24"/>
        </w:rPr>
        <w:t>日</w:t>
      </w:r>
    </w:p>
    <w:p w14:paraId="1B245E20" w14:textId="77777777" w:rsidR="00284BF8" w:rsidRDefault="00B01898">
      <w:pPr>
        <w:adjustRightInd w:val="0"/>
        <w:snapToGrid w:val="0"/>
        <w:spacing w:beforeLines="50" w:before="156" w:afterLines="50" w:after="156" w:line="360" w:lineRule="auto"/>
        <w:rPr>
          <w:bCs/>
          <w:sz w:val="24"/>
        </w:rPr>
      </w:pPr>
      <w:r>
        <w:rPr>
          <w:sz w:val="24"/>
        </w:rPr>
        <w:t xml:space="preserve">2. </w:t>
      </w:r>
      <w:r>
        <w:rPr>
          <w:sz w:val="24"/>
        </w:rPr>
        <w:t>第二轮确认可接收跨类申请，安排在第一学年冬学期第</w:t>
      </w:r>
      <w:r>
        <w:rPr>
          <w:sz w:val="24"/>
        </w:rPr>
        <w:t>2-4</w:t>
      </w:r>
      <w:r>
        <w:rPr>
          <w:sz w:val="24"/>
        </w:rPr>
        <w:t>周。第二轮类外学生接收人数不超过专业类内容量的</w:t>
      </w:r>
      <w:r>
        <w:rPr>
          <w:sz w:val="24"/>
        </w:rPr>
        <w:t>5%</w:t>
      </w:r>
      <w:r>
        <w:rPr>
          <w:sz w:val="24"/>
        </w:rPr>
        <w:t>。</w:t>
      </w:r>
    </w:p>
    <w:p w14:paraId="5D3BA600" w14:textId="267C53E3" w:rsidR="00284BF8" w:rsidRDefault="00B01898">
      <w:pPr>
        <w:spacing w:beforeLines="50" w:before="156" w:afterLines="50" w:after="156" w:line="360" w:lineRule="auto"/>
        <w:rPr>
          <w:b/>
          <w:sz w:val="24"/>
          <w:highlight w:val="cyan"/>
        </w:rPr>
      </w:pPr>
      <w:r>
        <w:rPr>
          <w:b/>
          <w:sz w:val="24"/>
        </w:rPr>
        <w:t>三、</w:t>
      </w:r>
      <w:r w:rsidR="00FC2B2A" w:rsidRPr="00B05590">
        <w:rPr>
          <w:rFonts w:hint="eastAsia"/>
          <w:b/>
          <w:sz w:val="24"/>
        </w:rPr>
        <w:t>说明</w:t>
      </w:r>
    </w:p>
    <w:p w14:paraId="00F2ED91" w14:textId="77777777" w:rsidR="00F80940" w:rsidRPr="00F80940" w:rsidRDefault="00F80940" w:rsidP="00F80940">
      <w:pPr>
        <w:spacing w:line="360" w:lineRule="auto"/>
        <w:ind w:firstLineChars="200" w:firstLine="480"/>
        <w:rPr>
          <w:rFonts w:hint="eastAsia"/>
          <w:sz w:val="24"/>
        </w:rPr>
      </w:pPr>
      <w:r w:rsidRPr="00F80940">
        <w:rPr>
          <w:rFonts w:hint="eastAsia"/>
          <w:sz w:val="24"/>
        </w:rPr>
        <w:t>1.</w:t>
      </w:r>
      <w:r w:rsidRPr="00F80940">
        <w:rPr>
          <w:rFonts w:hint="eastAsia"/>
          <w:sz w:val="24"/>
        </w:rPr>
        <w:t>第一轮专业确认时按学生专业志愿优先级，自前向后、分批次进行确认或遴选，</w:t>
      </w:r>
      <w:r w:rsidRPr="00F80940">
        <w:rPr>
          <w:rFonts w:hint="eastAsia"/>
          <w:sz w:val="24"/>
        </w:rPr>
        <w:lastRenderedPageBreak/>
        <w:t>学生被某一级志愿专业接收后，其所填报的后续志愿均无效。当学生申请人数大于专业基本容量时，该专业需组织笔试、面试等多种方式进行遴选；当累计数不大于专业基本容量时，申请学生全部确认进入该专业。</w:t>
      </w:r>
    </w:p>
    <w:p w14:paraId="02908342" w14:textId="77777777" w:rsidR="00F80940" w:rsidRPr="00F80940" w:rsidRDefault="00F80940" w:rsidP="00F80940">
      <w:pPr>
        <w:spacing w:line="360" w:lineRule="auto"/>
        <w:ind w:firstLineChars="200" w:firstLine="480"/>
        <w:rPr>
          <w:rFonts w:hint="eastAsia"/>
          <w:sz w:val="24"/>
        </w:rPr>
      </w:pPr>
      <w:r w:rsidRPr="00F80940">
        <w:rPr>
          <w:rFonts w:hint="eastAsia"/>
          <w:sz w:val="24"/>
        </w:rPr>
        <w:t>招生时已经确定专业的学生（含三位一体学生、民族班学生、港澳台学生、留学生等），无需参加主修专业确认环节，由教务处通过“本科生信息服务平台”直接导入名单。</w:t>
      </w:r>
    </w:p>
    <w:p w14:paraId="7D083B90" w14:textId="0C565C52" w:rsidR="00F80940" w:rsidRPr="00F80940" w:rsidRDefault="00F80940" w:rsidP="00F80940">
      <w:pPr>
        <w:spacing w:line="360" w:lineRule="auto"/>
        <w:ind w:firstLineChars="200" w:firstLine="480"/>
        <w:rPr>
          <w:rFonts w:hint="eastAsia"/>
          <w:sz w:val="24"/>
        </w:rPr>
      </w:pPr>
      <w:r w:rsidRPr="00F80940">
        <w:rPr>
          <w:rFonts w:hint="eastAsia"/>
          <w:sz w:val="24"/>
        </w:rPr>
        <w:t>2.</w:t>
      </w:r>
      <w:r w:rsidR="00FC2B2A">
        <w:rPr>
          <w:sz w:val="24"/>
        </w:rPr>
        <w:t xml:space="preserve"> </w:t>
      </w:r>
      <w:r w:rsidRPr="00F80940">
        <w:rPr>
          <w:rFonts w:hint="eastAsia"/>
          <w:sz w:val="24"/>
        </w:rPr>
        <w:t>第二轮专业确认时学生如对第一轮确认的专业没有更换意愿，则不需要提交申请；如学生对第一轮确认专业有更换意愿，则最多提交一个申请跨类或类</w:t>
      </w:r>
      <w:proofErr w:type="gramStart"/>
      <w:r w:rsidRPr="00F80940">
        <w:rPr>
          <w:rFonts w:hint="eastAsia"/>
          <w:sz w:val="24"/>
        </w:rPr>
        <w:t>内专业</w:t>
      </w:r>
      <w:proofErr w:type="gramEnd"/>
      <w:r w:rsidRPr="00F80940">
        <w:rPr>
          <w:rFonts w:hint="eastAsia"/>
          <w:sz w:val="24"/>
        </w:rPr>
        <w:t>的志愿。当学生申请专业志愿累计数大于专业第二轮接收容量时，该专业需组织笔试、面试等多种方式进行遴选；当累计数不大于专业第二轮接收容量时，申请学生全部确认进入该专业。</w:t>
      </w:r>
    </w:p>
    <w:p w14:paraId="3FE1FEAE" w14:textId="77777777" w:rsidR="00F80940" w:rsidRPr="00F80940" w:rsidRDefault="00F80940" w:rsidP="00F80940">
      <w:pPr>
        <w:spacing w:line="360" w:lineRule="auto"/>
        <w:ind w:firstLineChars="200" w:firstLine="480"/>
        <w:rPr>
          <w:rFonts w:hint="eastAsia"/>
          <w:sz w:val="24"/>
        </w:rPr>
      </w:pPr>
      <w:r w:rsidRPr="00F80940">
        <w:rPr>
          <w:rFonts w:hint="eastAsia"/>
          <w:sz w:val="24"/>
        </w:rPr>
        <w:t>浙江省、上海市、北京、天津、海南、山东实施高考改革的生源地学生跨类确认应符合选考科目要求且只能</w:t>
      </w:r>
      <w:proofErr w:type="gramStart"/>
      <w:r w:rsidRPr="00F80940">
        <w:rPr>
          <w:rFonts w:hint="eastAsia"/>
          <w:sz w:val="24"/>
        </w:rPr>
        <w:t>高分转</w:t>
      </w:r>
      <w:proofErr w:type="gramEnd"/>
      <w:r w:rsidRPr="00F80940">
        <w:rPr>
          <w:rFonts w:hint="eastAsia"/>
          <w:sz w:val="24"/>
        </w:rPr>
        <w:t>低分。跨校级代码确认视同转专业，学生跨校级代码确认后不得转专业。</w:t>
      </w:r>
    </w:p>
    <w:p w14:paraId="5BF43200" w14:textId="753B1DDD" w:rsidR="00F80940" w:rsidRDefault="00F80940" w:rsidP="00F80940">
      <w:pPr>
        <w:spacing w:line="360" w:lineRule="auto"/>
        <w:ind w:firstLineChars="200" w:firstLine="480"/>
        <w:rPr>
          <w:sz w:val="24"/>
        </w:rPr>
      </w:pPr>
      <w:r w:rsidRPr="00F80940">
        <w:rPr>
          <w:rFonts w:hint="eastAsia"/>
          <w:sz w:val="24"/>
        </w:rPr>
        <w:t>3.</w:t>
      </w:r>
      <w:r w:rsidR="00FC2B2A">
        <w:rPr>
          <w:sz w:val="24"/>
        </w:rPr>
        <w:t xml:space="preserve"> </w:t>
      </w:r>
      <w:r w:rsidRPr="00F80940">
        <w:rPr>
          <w:rFonts w:hint="eastAsia"/>
          <w:sz w:val="24"/>
        </w:rPr>
        <w:t>2020-2021</w:t>
      </w:r>
      <w:r w:rsidRPr="00F80940">
        <w:rPr>
          <w:rFonts w:hint="eastAsia"/>
          <w:sz w:val="24"/>
        </w:rPr>
        <w:t>学年春夏学期转专业：转专业不受选考科目和高考分数限制，但需符合目标专业培养方案的要求。</w:t>
      </w:r>
    </w:p>
    <w:p w14:paraId="2397D5A5" w14:textId="3BEDA268" w:rsidR="00FC2B2A" w:rsidRDefault="00FC2B2A" w:rsidP="00FC2B2A">
      <w:pPr>
        <w:spacing w:line="360" w:lineRule="auto"/>
        <w:ind w:firstLineChars="200" w:firstLine="480"/>
        <w:rPr>
          <w:sz w:val="24"/>
        </w:rPr>
      </w:pPr>
      <w:r>
        <w:rPr>
          <w:rFonts w:hint="eastAsia"/>
          <w:sz w:val="24"/>
        </w:rPr>
        <w:t>4</w:t>
      </w:r>
      <w:r>
        <w:rPr>
          <w:sz w:val="24"/>
        </w:rPr>
        <w:t xml:space="preserve">. </w:t>
      </w:r>
      <w:r>
        <w:rPr>
          <w:sz w:val="24"/>
        </w:rPr>
        <w:t>转专业学生</w:t>
      </w:r>
      <w:r>
        <w:rPr>
          <w:rFonts w:hint="eastAsia"/>
          <w:sz w:val="24"/>
        </w:rPr>
        <w:t>要求</w:t>
      </w:r>
    </w:p>
    <w:p w14:paraId="12EBE7E5" w14:textId="77777777" w:rsidR="00FC2B2A" w:rsidRDefault="00FC2B2A" w:rsidP="00FC2B2A">
      <w:pPr>
        <w:spacing w:line="360" w:lineRule="auto"/>
        <w:ind w:firstLineChars="200" w:firstLine="480"/>
        <w:rPr>
          <w:sz w:val="24"/>
        </w:rPr>
      </w:pPr>
      <w:r>
        <w:rPr>
          <w:sz w:val="24"/>
        </w:rPr>
        <w:t>（</w:t>
      </w:r>
      <w:r>
        <w:rPr>
          <w:sz w:val="24"/>
        </w:rPr>
        <w:t>1</w:t>
      </w:r>
      <w:r>
        <w:rPr>
          <w:sz w:val="24"/>
        </w:rPr>
        <w:t>）</w:t>
      </w:r>
      <w:r>
        <w:rPr>
          <w:sz w:val="24"/>
        </w:rPr>
        <w:t xml:space="preserve"> </w:t>
      </w:r>
      <w:r>
        <w:rPr>
          <w:sz w:val="24"/>
        </w:rPr>
        <w:t>限高考理科专业学生。</w:t>
      </w:r>
    </w:p>
    <w:p w14:paraId="7F2C0492" w14:textId="77777777" w:rsidR="00FC2B2A" w:rsidRDefault="00FC2B2A" w:rsidP="00FC2B2A">
      <w:pPr>
        <w:spacing w:line="360" w:lineRule="auto"/>
        <w:ind w:firstLineChars="200" w:firstLine="480"/>
        <w:rPr>
          <w:sz w:val="24"/>
        </w:rPr>
      </w:pPr>
      <w:r>
        <w:rPr>
          <w:sz w:val="24"/>
        </w:rPr>
        <w:t>（</w:t>
      </w:r>
      <w:r>
        <w:rPr>
          <w:sz w:val="24"/>
        </w:rPr>
        <w:t>2</w:t>
      </w:r>
      <w:r>
        <w:rPr>
          <w:sz w:val="24"/>
        </w:rPr>
        <w:t>）</w:t>
      </w:r>
      <w:r>
        <w:rPr>
          <w:sz w:val="24"/>
        </w:rPr>
        <w:t xml:space="preserve"> </w:t>
      </w:r>
      <w:r>
        <w:rPr>
          <w:sz w:val="24"/>
        </w:rPr>
        <w:t>身心健康，符合国家有关本专业体检标准，不接受色弱和色盲学生，不接受违纪处分学生。</w:t>
      </w:r>
    </w:p>
    <w:p w14:paraId="56B840B6" w14:textId="77777777" w:rsidR="00FC2B2A" w:rsidRDefault="00FC2B2A" w:rsidP="00FC2B2A">
      <w:pPr>
        <w:spacing w:line="360" w:lineRule="auto"/>
        <w:ind w:firstLineChars="200" w:firstLine="480"/>
        <w:rPr>
          <w:sz w:val="24"/>
        </w:rPr>
      </w:pPr>
      <w:r>
        <w:rPr>
          <w:sz w:val="24"/>
        </w:rPr>
        <w:t>（</w:t>
      </w:r>
      <w:r>
        <w:rPr>
          <w:sz w:val="24"/>
        </w:rPr>
        <w:t>3</w:t>
      </w:r>
      <w:r>
        <w:rPr>
          <w:sz w:val="24"/>
        </w:rPr>
        <w:t>）转专业学生建议修读以下前置课程：</w:t>
      </w:r>
      <w:r>
        <w:rPr>
          <w:rFonts w:hint="eastAsia"/>
          <w:sz w:val="24"/>
        </w:rPr>
        <w:t>普通化学（乙）</w:t>
      </w:r>
      <w:r>
        <w:rPr>
          <w:sz w:val="24"/>
        </w:rPr>
        <w:t>、</w:t>
      </w:r>
      <w:r>
        <w:rPr>
          <w:rFonts w:hint="eastAsia"/>
          <w:sz w:val="24"/>
        </w:rPr>
        <w:t>普通化学实验（乙）分析化学（乙）</w:t>
      </w:r>
      <w:r>
        <w:rPr>
          <w:sz w:val="24"/>
        </w:rPr>
        <w:t>、有机化学、大学化学实验（</w:t>
      </w:r>
      <w:r>
        <w:rPr>
          <w:sz w:val="24"/>
        </w:rPr>
        <w:t>O</w:t>
      </w:r>
      <w:r>
        <w:rPr>
          <w:sz w:val="24"/>
        </w:rPr>
        <w:t>）、</w:t>
      </w:r>
      <w:r>
        <w:rPr>
          <w:rFonts w:hint="eastAsia"/>
          <w:sz w:val="24"/>
        </w:rPr>
        <w:t>微积分（乙）</w:t>
      </w:r>
      <w:r>
        <w:rPr>
          <w:rFonts w:hint="eastAsia"/>
          <w:sz w:val="24"/>
        </w:rPr>
        <w:t>I</w:t>
      </w:r>
      <w:r>
        <w:rPr>
          <w:sz w:val="24"/>
        </w:rPr>
        <w:t>、</w:t>
      </w:r>
      <w:r>
        <w:rPr>
          <w:rFonts w:hint="eastAsia"/>
          <w:sz w:val="24"/>
        </w:rPr>
        <w:t>微积分（乙）</w:t>
      </w:r>
      <w:r>
        <w:rPr>
          <w:sz w:val="24"/>
        </w:rPr>
        <w:t>II</w:t>
      </w:r>
      <w:r>
        <w:rPr>
          <w:sz w:val="24"/>
        </w:rPr>
        <w:t>、大学物理（丙）、大学物理实验（丙）、物理化学、大学化学实验（</w:t>
      </w:r>
      <w:r>
        <w:rPr>
          <w:sz w:val="24"/>
        </w:rPr>
        <w:t>P</w:t>
      </w:r>
      <w:r>
        <w:rPr>
          <w:sz w:val="24"/>
        </w:rPr>
        <w:t>）、细胞生物学及实验（乙）、生物化学与分子生物学。</w:t>
      </w:r>
    </w:p>
    <w:p w14:paraId="77F59667" w14:textId="759760B4" w:rsidR="00FC2B2A" w:rsidRPr="00F80940" w:rsidRDefault="00FC2B2A" w:rsidP="00FC2B2A">
      <w:pPr>
        <w:spacing w:line="360" w:lineRule="auto"/>
        <w:ind w:firstLineChars="200" w:firstLine="480"/>
        <w:rPr>
          <w:rFonts w:hint="eastAsia"/>
          <w:sz w:val="24"/>
        </w:rPr>
      </w:pPr>
      <w:r>
        <w:rPr>
          <w:sz w:val="24"/>
        </w:rPr>
        <w:t>（</w:t>
      </w:r>
      <w:r>
        <w:rPr>
          <w:sz w:val="24"/>
        </w:rPr>
        <w:t>4</w:t>
      </w:r>
      <w:r>
        <w:rPr>
          <w:sz w:val="24"/>
        </w:rPr>
        <w:t>）所有课程</w:t>
      </w:r>
      <w:proofErr w:type="gramStart"/>
      <w:r>
        <w:rPr>
          <w:sz w:val="24"/>
        </w:rPr>
        <w:t>平均绩点不</w:t>
      </w:r>
      <w:proofErr w:type="gramEnd"/>
      <w:r>
        <w:rPr>
          <w:sz w:val="24"/>
        </w:rPr>
        <w:t>低于</w:t>
      </w:r>
      <w:r>
        <w:rPr>
          <w:sz w:val="24"/>
        </w:rPr>
        <w:t>3.0</w:t>
      </w:r>
      <w:r>
        <w:rPr>
          <w:sz w:val="24"/>
        </w:rPr>
        <w:t>，每个长学期有效学分不低于</w:t>
      </w:r>
      <w:r>
        <w:rPr>
          <w:sz w:val="24"/>
        </w:rPr>
        <w:t>20</w:t>
      </w:r>
      <w:r>
        <w:rPr>
          <w:rFonts w:hint="eastAsia"/>
          <w:sz w:val="24"/>
        </w:rPr>
        <w:t>。</w:t>
      </w:r>
    </w:p>
    <w:p w14:paraId="422F0D35" w14:textId="77777777" w:rsidR="00F80940" w:rsidRPr="00F80940" w:rsidRDefault="00F80940" w:rsidP="00F80940">
      <w:pPr>
        <w:spacing w:line="360" w:lineRule="auto"/>
        <w:ind w:firstLineChars="200" w:firstLine="480"/>
        <w:rPr>
          <w:rFonts w:hint="eastAsia"/>
          <w:sz w:val="24"/>
        </w:rPr>
      </w:pPr>
      <w:r w:rsidRPr="00F80940">
        <w:rPr>
          <w:rFonts w:hint="eastAsia"/>
          <w:sz w:val="24"/>
        </w:rPr>
        <w:t>四、其它</w:t>
      </w:r>
    </w:p>
    <w:p w14:paraId="634F38EC" w14:textId="67D254B1" w:rsidR="00284BF8" w:rsidRDefault="00F80940" w:rsidP="00FC2B2A">
      <w:pPr>
        <w:spacing w:line="360" w:lineRule="auto"/>
        <w:ind w:firstLineChars="200" w:firstLine="480"/>
        <w:rPr>
          <w:rFonts w:hint="eastAsia"/>
          <w:sz w:val="24"/>
        </w:rPr>
      </w:pPr>
      <w:r w:rsidRPr="00F80940">
        <w:rPr>
          <w:rFonts w:hint="eastAsia"/>
          <w:sz w:val="24"/>
        </w:rPr>
        <w:t>招生时有政策规定或约定的学生（包括提前批、三位一体、强基计划、外语类保送生、高水平运动员、高水平艺术团等），按招生章程、招生简章或相关约定执行。</w:t>
      </w:r>
    </w:p>
    <w:p w14:paraId="7147B1F6" w14:textId="46E77F00" w:rsidR="00284BF8" w:rsidRDefault="00FC2B2A">
      <w:pPr>
        <w:spacing w:beforeLines="50" w:before="156" w:afterLines="50" w:after="156" w:line="360" w:lineRule="auto"/>
        <w:rPr>
          <w:b/>
          <w:sz w:val="24"/>
        </w:rPr>
      </w:pPr>
      <w:r>
        <w:rPr>
          <w:rFonts w:hint="eastAsia"/>
          <w:b/>
          <w:sz w:val="24"/>
        </w:rPr>
        <w:t>五</w:t>
      </w:r>
      <w:r w:rsidR="00B01898">
        <w:rPr>
          <w:b/>
          <w:sz w:val="24"/>
        </w:rPr>
        <w:t>、主修专业确认工作的程序</w:t>
      </w:r>
    </w:p>
    <w:p w14:paraId="668330B6" w14:textId="77777777" w:rsidR="00284BF8" w:rsidRDefault="00B01898">
      <w:pPr>
        <w:spacing w:line="360" w:lineRule="auto"/>
        <w:ind w:leftChars="200" w:left="420"/>
        <w:rPr>
          <w:sz w:val="24"/>
        </w:rPr>
      </w:pPr>
      <w:r>
        <w:rPr>
          <w:sz w:val="24"/>
        </w:rPr>
        <w:t xml:space="preserve">1. </w:t>
      </w:r>
      <w:r>
        <w:rPr>
          <w:sz w:val="24"/>
        </w:rPr>
        <w:t>学生本人在学校规定时间内递交申请；</w:t>
      </w:r>
    </w:p>
    <w:p w14:paraId="51F0AA2E" w14:textId="77777777" w:rsidR="00284BF8" w:rsidRDefault="00B01898">
      <w:pPr>
        <w:spacing w:line="360" w:lineRule="auto"/>
        <w:ind w:leftChars="200" w:left="420"/>
        <w:rPr>
          <w:sz w:val="24"/>
        </w:rPr>
      </w:pPr>
      <w:r>
        <w:rPr>
          <w:sz w:val="24"/>
        </w:rPr>
        <w:lastRenderedPageBreak/>
        <w:t xml:space="preserve">2. </w:t>
      </w:r>
      <w:r>
        <w:rPr>
          <w:sz w:val="24"/>
        </w:rPr>
        <w:t>主修专业确认</w:t>
      </w:r>
      <w:r>
        <w:rPr>
          <w:rFonts w:hint="eastAsia"/>
          <w:sz w:val="24"/>
        </w:rPr>
        <w:t>工作小组</w:t>
      </w:r>
      <w:r>
        <w:rPr>
          <w:sz w:val="24"/>
        </w:rPr>
        <w:t>审核；</w:t>
      </w:r>
    </w:p>
    <w:p w14:paraId="18BD8E6A" w14:textId="77777777" w:rsidR="00284BF8" w:rsidRDefault="00B01898">
      <w:pPr>
        <w:spacing w:line="360" w:lineRule="auto"/>
        <w:ind w:leftChars="200" w:left="420"/>
        <w:rPr>
          <w:sz w:val="24"/>
        </w:rPr>
      </w:pPr>
      <w:r>
        <w:rPr>
          <w:sz w:val="24"/>
        </w:rPr>
        <w:t xml:space="preserve">3. </w:t>
      </w:r>
      <w:r>
        <w:rPr>
          <w:sz w:val="24"/>
        </w:rPr>
        <w:t>学院根据申请学生情况组织面谈和面试并对超容量专业学生进行筛选；</w:t>
      </w:r>
    </w:p>
    <w:p w14:paraId="3B0D3AF8" w14:textId="77777777" w:rsidR="00284BF8" w:rsidRDefault="00B01898">
      <w:pPr>
        <w:spacing w:line="360" w:lineRule="auto"/>
        <w:ind w:leftChars="200" w:left="420"/>
        <w:rPr>
          <w:sz w:val="24"/>
        </w:rPr>
      </w:pPr>
      <w:r>
        <w:rPr>
          <w:sz w:val="24"/>
        </w:rPr>
        <w:t xml:space="preserve">4. </w:t>
      </w:r>
      <w:r>
        <w:rPr>
          <w:sz w:val="24"/>
        </w:rPr>
        <w:t>确认结果予以公示；</w:t>
      </w:r>
    </w:p>
    <w:p w14:paraId="059C1A5C" w14:textId="77777777" w:rsidR="00284BF8" w:rsidRDefault="00B01898">
      <w:pPr>
        <w:spacing w:line="360" w:lineRule="auto"/>
        <w:ind w:leftChars="200" w:left="420"/>
        <w:rPr>
          <w:sz w:val="24"/>
        </w:rPr>
      </w:pPr>
      <w:r>
        <w:rPr>
          <w:sz w:val="24"/>
        </w:rPr>
        <w:t xml:space="preserve">5. </w:t>
      </w:r>
      <w:r>
        <w:rPr>
          <w:sz w:val="24"/>
        </w:rPr>
        <w:t>上报学校</w:t>
      </w:r>
      <w:r>
        <w:rPr>
          <w:rFonts w:hint="eastAsia"/>
          <w:sz w:val="24"/>
        </w:rPr>
        <w:t>。</w:t>
      </w:r>
    </w:p>
    <w:p w14:paraId="50ABDBDD" w14:textId="39FFEA8F" w:rsidR="00284BF8" w:rsidRDefault="00FC2B2A">
      <w:pPr>
        <w:spacing w:beforeLines="50" w:before="156" w:afterLines="50" w:after="156" w:line="360" w:lineRule="auto"/>
        <w:rPr>
          <w:b/>
          <w:sz w:val="24"/>
        </w:rPr>
      </w:pPr>
      <w:r>
        <w:rPr>
          <w:rFonts w:hint="eastAsia"/>
          <w:b/>
          <w:sz w:val="24"/>
        </w:rPr>
        <w:t>六</w:t>
      </w:r>
      <w:r w:rsidR="00B01898">
        <w:rPr>
          <w:b/>
          <w:sz w:val="24"/>
        </w:rPr>
        <w:t>、本细则由药学院本科生科负责解释</w:t>
      </w:r>
      <w:r w:rsidR="00B01898">
        <w:rPr>
          <w:rFonts w:hint="eastAsia"/>
          <w:b/>
          <w:sz w:val="24"/>
        </w:rPr>
        <w:t>。</w:t>
      </w:r>
    </w:p>
    <w:p w14:paraId="6C1EA013" w14:textId="77777777" w:rsidR="00284BF8" w:rsidRDefault="00B01898">
      <w:pPr>
        <w:spacing w:beforeLines="50" w:before="156" w:afterLines="50" w:after="156" w:line="360" w:lineRule="auto"/>
        <w:jc w:val="right"/>
        <w:rPr>
          <w:bCs/>
          <w:sz w:val="24"/>
        </w:rPr>
      </w:pPr>
      <w:r>
        <w:rPr>
          <w:rFonts w:hint="eastAsia"/>
          <w:bCs/>
          <w:sz w:val="24"/>
        </w:rPr>
        <w:t>浙江大学药学院</w:t>
      </w:r>
    </w:p>
    <w:p w14:paraId="6DEFDD3B" w14:textId="77777777" w:rsidR="00284BF8" w:rsidRDefault="00B01898">
      <w:pPr>
        <w:spacing w:beforeLines="50" w:before="156" w:afterLines="50" w:after="156" w:line="360" w:lineRule="auto"/>
        <w:jc w:val="right"/>
        <w:rPr>
          <w:bCs/>
          <w:sz w:val="24"/>
        </w:rPr>
      </w:pPr>
      <w:r>
        <w:rPr>
          <w:rFonts w:hint="eastAsia"/>
          <w:bCs/>
          <w:sz w:val="24"/>
        </w:rPr>
        <w:t>2020</w:t>
      </w:r>
      <w:r>
        <w:rPr>
          <w:rFonts w:hint="eastAsia"/>
          <w:bCs/>
          <w:sz w:val="24"/>
        </w:rPr>
        <w:t>年</w:t>
      </w:r>
      <w:r>
        <w:rPr>
          <w:rFonts w:hint="eastAsia"/>
          <w:bCs/>
          <w:sz w:val="24"/>
        </w:rPr>
        <w:t>10</w:t>
      </w:r>
      <w:r>
        <w:rPr>
          <w:rFonts w:hint="eastAsia"/>
          <w:bCs/>
          <w:sz w:val="24"/>
        </w:rPr>
        <w:t>月</w:t>
      </w:r>
      <w:r>
        <w:rPr>
          <w:rFonts w:hint="eastAsia"/>
          <w:bCs/>
          <w:sz w:val="24"/>
        </w:rPr>
        <w:t>1</w:t>
      </w:r>
      <w:r>
        <w:rPr>
          <w:rFonts w:hint="eastAsia"/>
          <w:bCs/>
          <w:sz w:val="24"/>
        </w:rPr>
        <w:t>4</w:t>
      </w:r>
      <w:r>
        <w:rPr>
          <w:rFonts w:hint="eastAsia"/>
          <w:bCs/>
          <w:sz w:val="24"/>
        </w:rPr>
        <w:t>日</w:t>
      </w:r>
    </w:p>
    <w:sectPr w:rsidR="00284BF8">
      <w:footerReference w:type="default" r:id="rId7"/>
      <w:pgSz w:w="11906" w:h="16838"/>
      <w:pgMar w:top="1021" w:right="1588" w:bottom="851" w:left="158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3316D" w14:textId="77777777" w:rsidR="00B01898" w:rsidRDefault="00B01898">
      <w:r>
        <w:separator/>
      </w:r>
    </w:p>
  </w:endnote>
  <w:endnote w:type="continuationSeparator" w:id="0">
    <w:p w14:paraId="0DC5953C" w14:textId="77777777" w:rsidR="00B01898" w:rsidRDefault="00B0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896F2" w14:textId="77777777" w:rsidR="00284BF8" w:rsidRDefault="00284BF8">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7B3B4" w14:textId="77777777" w:rsidR="00B01898" w:rsidRDefault="00B01898">
      <w:r>
        <w:separator/>
      </w:r>
    </w:p>
  </w:footnote>
  <w:footnote w:type="continuationSeparator" w:id="0">
    <w:p w14:paraId="3A4DDD1E" w14:textId="77777777" w:rsidR="00B01898" w:rsidRDefault="00B01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17"/>
    <w:rsid w:val="0000426E"/>
    <w:rsid w:val="00023E68"/>
    <w:rsid w:val="00025400"/>
    <w:rsid w:val="0004435D"/>
    <w:rsid w:val="000527B5"/>
    <w:rsid w:val="000565F6"/>
    <w:rsid w:val="00057491"/>
    <w:rsid w:val="0008557A"/>
    <w:rsid w:val="00091E28"/>
    <w:rsid w:val="000A0AD6"/>
    <w:rsid w:val="000A1F5E"/>
    <w:rsid w:val="000A4D7A"/>
    <w:rsid w:val="000A586B"/>
    <w:rsid w:val="000B3732"/>
    <w:rsid w:val="000E3C8D"/>
    <w:rsid w:val="000F0A27"/>
    <w:rsid w:val="000F521A"/>
    <w:rsid w:val="00111B16"/>
    <w:rsid w:val="0011524E"/>
    <w:rsid w:val="00122DAE"/>
    <w:rsid w:val="001401E0"/>
    <w:rsid w:val="00140D8D"/>
    <w:rsid w:val="00151BFD"/>
    <w:rsid w:val="0015390F"/>
    <w:rsid w:val="00172A27"/>
    <w:rsid w:val="00173815"/>
    <w:rsid w:val="001836EC"/>
    <w:rsid w:val="001935C4"/>
    <w:rsid w:val="001942FE"/>
    <w:rsid w:val="0019547F"/>
    <w:rsid w:val="001A7D66"/>
    <w:rsid w:val="001B2DE6"/>
    <w:rsid w:val="001C2543"/>
    <w:rsid w:val="001D31DF"/>
    <w:rsid w:val="001D67D4"/>
    <w:rsid w:val="001D700F"/>
    <w:rsid w:val="001E22D8"/>
    <w:rsid w:val="001E5097"/>
    <w:rsid w:val="00207397"/>
    <w:rsid w:val="00207E99"/>
    <w:rsid w:val="00220C74"/>
    <w:rsid w:val="0023289F"/>
    <w:rsid w:val="00241B6F"/>
    <w:rsid w:val="00246D9B"/>
    <w:rsid w:val="00252CB1"/>
    <w:rsid w:val="00263F61"/>
    <w:rsid w:val="002654A1"/>
    <w:rsid w:val="00271D34"/>
    <w:rsid w:val="00272C93"/>
    <w:rsid w:val="00284BF8"/>
    <w:rsid w:val="00287799"/>
    <w:rsid w:val="00290A4B"/>
    <w:rsid w:val="002A4C8E"/>
    <w:rsid w:val="002B54DC"/>
    <w:rsid w:val="002B6581"/>
    <w:rsid w:val="002C291C"/>
    <w:rsid w:val="002D1F81"/>
    <w:rsid w:val="002D648A"/>
    <w:rsid w:val="002D7C88"/>
    <w:rsid w:val="002E16B3"/>
    <w:rsid w:val="002F0890"/>
    <w:rsid w:val="002F555E"/>
    <w:rsid w:val="002F59F0"/>
    <w:rsid w:val="00305BAF"/>
    <w:rsid w:val="00317397"/>
    <w:rsid w:val="0033292D"/>
    <w:rsid w:val="00340506"/>
    <w:rsid w:val="00351D2B"/>
    <w:rsid w:val="00362C68"/>
    <w:rsid w:val="00373FC8"/>
    <w:rsid w:val="00384B72"/>
    <w:rsid w:val="00384BA3"/>
    <w:rsid w:val="00394B54"/>
    <w:rsid w:val="0039533E"/>
    <w:rsid w:val="003C7DDF"/>
    <w:rsid w:val="003D45C6"/>
    <w:rsid w:val="004038DC"/>
    <w:rsid w:val="0041093D"/>
    <w:rsid w:val="0041111F"/>
    <w:rsid w:val="00423095"/>
    <w:rsid w:val="00425426"/>
    <w:rsid w:val="00460BA3"/>
    <w:rsid w:val="0048430E"/>
    <w:rsid w:val="004848BC"/>
    <w:rsid w:val="0048696B"/>
    <w:rsid w:val="0049373B"/>
    <w:rsid w:val="00493F0D"/>
    <w:rsid w:val="004A0FF8"/>
    <w:rsid w:val="004A31A6"/>
    <w:rsid w:val="004B3C3D"/>
    <w:rsid w:val="004B4E8B"/>
    <w:rsid w:val="004C05D3"/>
    <w:rsid w:val="004C6456"/>
    <w:rsid w:val="004E0F7E"/>
    <w:rsid w:val="004E4288"/>
    <w:rsid w:val="004E6492"/>
    <w:rsid w:val="004F5F15"/>
    <w:rsid w:val="0050030D"/>
    <w:rsid w:val="00506213"/>
    <w:rsid w:val="00511E48"/>
    <w:rsid w:val="00513321"/>
    <w:rsid w:val="00513523"/>
    <w:rsid w:val="00517966"/>
    <w:rsid w:val="005227D7"/>
    <w:rsid w:val="005234AF"/>
    <w:rsid w:val="005239CA"/>
    <w:rsid w:val="00524C75"/>
    <w:rsid w:val="00525306"/>
    <w:rsid w:val="00530DA5"/>
    <w:rsid w:val="005325E3"/>
    <w:rsid w:val="005329D6"/>
    <w:rsid w:val="005341A8"/>
    <w:rsid w:val="0055347A"/>
    <w:rsid w:val="005604AD"/>
    <w:rsid w:val="0057614C"/>
    <w:rsid w:val="00580C40"/>
    <w:rsid w:val="00582D99"/>
    <w:rsid w:val="00585BF6"/>
    <w:rsid w:val="0059108D"/>
    <w:rsid w:val="0059332A"/>
    <w:rsid w:val="005A22A8"/>
    <w:rsid w:val="005B783A"/>
    <w:rsid w:val="005D1D9D"/>
    <w:rsid w:val="005F18F9"/>
    <w:rsid w:val="005F4627"/>
    <w:rsid w:val="00601ECB"/>
    <w:rsid w:val="006024C0"/>
    <w:rsid w:val="0060291C"/>
    <w:rsid w:val="0060438A"/>
    <w:rsid w:val="00615C90"/>
    <w:rsid w:val="006302F2"/>
    <w:rsid w:val="006308C4"/>
    <w:rsid w:val="006418E3"/>
    <w:rsid w:val="00662826"/>
    <w:rsid w:val="00664CBA"/>
    <w:rsid w:val="0068075F"/>
    <w:rsid w:val="00682E9A"/>
    <w:rsid w:val="00686E1B"/>
    <w:rsid w:val="0069595D"/>
    <w:rsid w:val="006A3DAE"/>
    <w:rsid w:val="006C60CD"/>
    <w:rsid w:val="006C7873"/>
    <w:rsid w:val="006D2D0C"/>
    <w:rsid w:val="006D4BF3"/>
    <w:rsid w:val="006D7BF6"/>
    <w:rsid w:val="006E1541"/>
    <w:rsid w:val="006E6FE2"/>
    <w:rsid w:val="006F3535"/>
    <w:rsid w:val="00702DAF"/>
    <w:rsid w:val="007140A6"/>
    <w:rsid w:val="00721B9E"/>
    <w:rsid w:val="0075484B"/>
    <w:rsid w:val="00767CD4"/>
    <w:rsid w:val="00772AC9"/>
    <w:rsid w:val="00786B14"/>
    <w:rsid w:val="0079216B"/>
    <w:rsid w:val="0079349E"/>
    <w:rsid w:val="007C1278"/>
    <w:rsid w:val="007C1516"/>
    <w:rsid w:val="007C7ADB"/>
    <w:rsid w:val="007D44F5"/>
    <w:rsid w:val="007D7F04"/>
    <w:rsid w:val="007E711A"/>
    <w:rsid w:val="007F1FF3"/>
    <w:rsid w:val="007F6294"/>
    <w:rsid w:val="00815D67"/>
    <w:rsid w:val="00824EBA"/>
    <w:rsid w:val="00846ED7"/>
    <w:rsid w:val="00851510"/>
    <w:rsid w:val="008815C4"/>
    <w:rsid w:val="00890BBB"/>
    <w:rsid w:val="00894B02"/>
    <w:rsid w:val="008B0B0A"/>
    <w:rsid w:val="008C69F0"/>
    <w:rsid w:val="008D24B0"/>
    <w:rsid w:val="008D7D7E"/>
    <w:rsid w:val="008E2D3E"/>
    <w:rsid w:val="008F2C68"/>
    <w:rsid w:val="00912CF5"/>
    <w:rsid w:val="00922FF1"/>
    <w:rsid w:val="0092604E"/>
    <w:rsid w:val="00950F02"/>
    <w:rsid w:val="009565C4"/>
    <w:rsid w:val="00997CA0"/>
    <w:rsid w:val="009A62F5"/>
    <w:rsid w:val="009F0954"/>
    <w:rsid w:val="009F7979"/>
    <w:rsid w:val="00A07421"/>
    <w:rsid w:val="00A23F91"/>
    <w:rsid w:val="00A27A75"/>
    <w:rsid w:val="00A326D6"/>
    <w:rsid w:val="00A40947"/>
    <w:rsid w:val="00A432B0"/>
    <w:rsid w:val="00A43E53"/>
    <w:rsid w:val="00A52A77"/>
    <w:rsid w:val="00A605AF"/>
    <w:rsid w:val="00A7797D"/>
    <w:rsid w:val="00A92010"/>
    <w:rsid w:val="00A95D4E"/>
    <w:rsid w:val="00AA256E"/>
    <w:rsid w:val="00AA5ADE"/>
    <w:rsid w:val="00AA701A"/>
    <w:rsid w:val="00AA7F09"/>
    <w:rsid w:val="00AC0D6D"/>
    <w:rsid w:val="00AC0ECE"/>
    <w:rsid w:val="00AD7583"/>
    <w:rsid w:val="00AF1A27"/>
    <w:rsid w:val="00B01441"/>
    <w:rsid w:val="00B01898"/>
    <w:rsid w:val="00B05590"/>
    <w:rsid w:val="00B13EEA"/>
    <w:rsid w:val="00B15269"/>
    <w:rsid w:val="00B223BB"/>
    <w:rsid w:val="00B351BA"/>
    <w:rsid w:val="00B45468"/>
    <w:rsid w:val="00B50865"/>
    <w:rsid w:val="00B51701"/>
    <w:rsid w:val="00B51E93"/>
    <w:rsid w:val="00B56194"/>
    <w:rsid w:val="00B6716B"/>
    <w:rsid w:val="00B83553"/>
    <w:rsid w:val="00B946BA"/>
    <w:rsid w:val="00B94972"/>
    <w:rsid w:val="00B97342"/>
    <w:rsid w:val="00BA1DDF"/>
    <w:rsid w:val="00BB0D84"/>
    <w:rsid w:val="00BC0432"/>
    <w:rsid w:val="00BC370F"/>
    <w:rsid w:val="00BC3A48"/>
    <w:rsid w:val="00BC683E"/>
    <w:rsid w:val="00BE34BA"/>
    <w:rsid w:val="00BE3A6E"/>
    <w:rsid w:val="00BE47E0"/>
    <w:rsid w:val="00BF042E"/>
    <w:rsid w:val="00BF276E"/>
    <w:rsid w:val="00BF46EA"/>
    <w:rsid w:val="00C0540C"/>
    <w:rsid w:val="00C05411"/>
    <w:rsid w:val="00C05E54"/>
    <w:rsid w:val="00C167E3"/>
    <w:rsid w:val="00C316A6"/>
    <w:rsid w:val="00C5366F"/>
    <w:rsid w:val="00C55C60"/>
    <w:rsid w:val="00C66FD0"/>
    <w:rsid w:val="00C7587A"/>
    <w:rsid w:val="00C85555"/>
    <w:rsid w:val="00C96F0A"/>
    <w:rsid w:val="00CA0995"/>
    <w:rsid w:val="00CB6550"/>
    <w:rsid w:val="00CC31C3"/>
    <w:rsid w:val="00CC77D6"/>
    <w:rsid w:val="00CD4C24"/>
    <w:rsid w:val="00CF164B"/>
    <w:rsid w:val="00CF1848"/>
    <w:rsid w:val="00D01456"/>
    <w:rsid w:val="00D070AD"/>
    <w:rsid w:val="00D14C92"/>
    <w:rsid w:val="00D42657"/>
    <w:rsid w:val="00D62A65"/>
    <w:rsid w:val="00D65DF4"/>
    <w:rsid w:val="00D661E0"/>
    <w:rsid w:val="00D73C88"/>
    <w:rsid w:val="00D74990"/>
    <w:rsid w:val="00D86740"/>
    <w:rsid w:val="00D97939"/>
    <w:rsid w:val="00DB207B"/>
    <w:rsid w:val="00DB2829"/>
    <w:rsid w:val="00DC71AA"/>
    <w:rsid w:val="00DC79FA"/>
    <w:rsid w:val="00DD1C7C"/>
    <w:rsid w:val="00DD4BF2"/>
    <w:rsid w:val="00DD5FDD"/>
    <w:rsid w:val="00DE0CF2"/>
    <w:rsid w:val="00DE469C"/>
    <w:rsid w:val="00DF53F1"/>
    <w:rsid w:val="00DF6D8D"/>
    <w:rsid w:val="00DF7A5D"/>
    <w:rsid w:val="00DF7C00"/>
    <w:rsid w:val="00E106CD"/>
    <w:rsid w:val="00E20AE5"/>
    <w:rsid w:val="00E21940"/>
    <w:rsid w:val="00E25AF5"/>
    <w:rsid w:val="00E2748F"/>
    <w:rsid w:val="00E32BF0"/>
    <w:rsid w:val="00E43F7C"/>
    <w:rsid w:val="00E44F29"/>
    <w:rsid w:val="00E5195C"/>
    <w:rsid w:val="00E6017B"/>
    <w:rsid w:val="00E61770"/>
    <w:rsid w:val="00E752A2"/>
    <w:rsid w:val="00E75B0D"/>
    <w:rsid w:val="00E837EA"/>
    <w:rsid w:val="00E84E99"/>
    <w:rsid w:val="00EC207E"/>
    <w:rsid w:val="00EC6FB5"/>
    <w:rsid w:val="00ED0C37"/>
    <w:rsid w:val="00ED6B99"/>
    <w:rsid w:val="00EF0EFE"/>
    <w:rsid w:val="00EF1C33"/>
    <w:rsid w:val="00F01B35"/>
    <w:rsid w:val="00F079EA"/>
    <w:rsid w:val="00F1118B"/>
    <w:rsid w:val="00F15839"/>
    <w:rsid w:val="00F4060F"/>
    <w:rsid w:val="00F4530C"/>
    <w:rsid w:val="00F56565"/>
    <w:rsid w:val="00F65167"/>
    <w:rsid w:val="00F65578"/>
    <w:rsid w:val="00F67084"/>
    <w:rsid w:val="00F72ADD"/>
    <w:rsid w:val="00F80940"/>
    <w:rsid w:val="00F8369F"/>
    <w:rsid w:val="00F87878"/>
    <w:rsid w:val="00F91B85"/>
    <w:rsid w:val="00F91ED2"/>
    <w:rsid w:val="00FA14D5"/>
    <w:rsid w:val="00FB0BEC"/>
    <w:rsid w:val="00FB781B"/>
    <w:rsid w:val="00FC2B2A"/>
    <w:rsid w:val="00FC3664"/>
    <w:rsid w:val="3EDE0DD3"/>
    <w:rsid w:val="76057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F21D5"/>
  <w15:docId w15:val="{4D6B4832-388D-4BA5-B3E7-9AA9A1FB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link w:val="a6"/>
    <w:qFormat/>
    <w:rPr>
      <w:kern w:val="2"/>
      <w:sz w:val="18"/>
      <w:szCs w:val="18"/>
    </w:rPr>
  </w:style>
  <w:style w:type="character" w:customStyle="1" w:styleId="a5">
    <w:name w:val="页脚 字符"/>
    <w:link w:val="a4"/>
    <w:uiPriority w:val="99"/>
    <w:qFormat/>
    <w:rPr>
      <w:kern w:val="2"/>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213</Words>
  <Characters>1219</Characters>
  <Application>Microsoft Office Word</Application>
  <DocSecurity>0</DocSecurity>
  <Lines>10</Lines>
  <Paragraphs>2</Paragraphs>
  <ScaleCrop>false</ScaleCrop>
  <Company>CHINA</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2011级医学院（系）主修专业确认工作细则</dc:title>
  <dc:creator>USER</dc:creator>
  <cp:lastModifiedBy>沈丽娟</cp:lastModifiedBy>
  <cp:revision>2</cp:revision>
  <cp:lastPrinted>2016-10-10T03:33:00Z</cp:lastPrinted>
  <dcterms:created xsi:type="dcterms:W3CDTF">2020-10-19T06:40:00Z</dcterms:created>
  <dcterms:modified xsi:type="dcterms:W3CDTF">2020-10-19T06:40:00Z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