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027BD"/>
    <w:p w14:paraId="4537FD07">
      <w:pPr>
        <w:pStyle w:val="3"/>
        <w:spacing w:before="0" w:beforeAutospacing="0" w:after="0" w:afterAutospacing="0" w:line="600" w:lineRule="exact"/>
        <w:jc w:val="both"/>
        <w:rPr>
          <w:rStyle w:val="6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附件：</w:t>
      </w:r>
    </w:p>
    <w:p w14:paraId="06ECF217">
      <w:pPr>
        <w:pStyle w:val="3"/>
        <w:spacing w:before="0" w:beforeAutospacing="0" w:after="0" w:afterAutospacing="0" w:line="600" w:lineRule="exact"/>
        <w:jc w:val="both"/>
        <w:rPr>
          <w:rStyle w:val="6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</w:pPr>
    </w:p>
    <w:p w14:paraId="4972F92A">
      <w:pPr>
        <w:pStyle w:val="3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浙江大学拟推荐申报2025年省级一流人工智能通识课程</w:t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清单</w:t>
      </w:r>
    </w:p>
    <w:p w14:paraId="4514FB4F"/>
    <w:tbl>
      <w:tblPr>
        <w:tblStyle w:val="4"/>
        <w:tblW w:w="141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635"/>
        <w:gridCol w:w="2005"/>
        <w:gridCol w:w="3666"/>
        <w:gridCol w:w="3666"/>
      </w:tblGrid>
      <w:tr w14:paraId="04736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4"/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F042">
            <w:pPr>
              <w:widowControl/>
              <w:spacing w:after="0" w:line="580" w:lineRule="exact"/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团队其他主要成员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推荐类型</w:t>
            </w:r>
          </w:p>
        </w:tc>
      </w:tr>
      <w:bookmarkEnd w:id="0"/>
      <w:tr w14:paraId="05D94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人工智能：情感、艺术与设计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张克俊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F9D5">
            <w:pPr>
              <w:widowControl/>
              <w:spacing w:after="0" w:line="580" w:lineRule="exact"/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孙凌云、邓晃煌、陈晓皎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一流人工智能通识课程</w:t>
            </w:r>
          </w:p>
        </w:tc>
      </w:tr>
      <w:tr w14:paraId="1F98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农业与生态环境大数据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罗忠奎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D543">
            <w:pPr>
              <w:widowControl/>
              <w:spacing w:after="0" w:line="580" w:lineRule="exact"/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史舟、常锦峰、叶粟、陈颂超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一流人工智能通识课程</w:t>
            </w:r>
          </w:p>
        </w:tc>
      </w:tr>
      <w:tr w14:paraId="4DF1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数智驱动的健康科学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吴息凤 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D082">
            <w:pPr>
              <w:widowControl/>
              <w:spacing w:after="0" w:line="580" w:lineRule="exact"/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李文渊、徐小林、涂华康、雷浩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一流人工智能通识课程</w:t>
            </w:r>
          </w:p>
        </w:tc>
      </w:tr>
      <w:tr w14:paraId="7795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哲学学院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人工智能与哲学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Karl Kraatz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王宏健、刘环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一流人工智能通识国际化课程</w:t>
            </w:r>
          </w:p>
        </w:tc>
      </w:tr>
    </w:tbl>
    <w:p w14:paraId="66B964D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ZTBiMWQwMjRhMjQyNGE1ODc1Njg2YzJlYmQwNTgifQ=="/>
  </w:docVars>
  <w:rsids>
    <w:rsidRoot w:val="00000000"/>
    <w:rsid w:val="0B267D84"/>
    <w:rsid w:val="220C321C"/>
    <w:rsid w:val="495A6128"/>
    <w:rsid w:val="53F92DE6"/>
    <w:rsid w:val="60C4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480" w:after="80"/>
      <w:jc w:val="center"/>
      <w:outlineLvl w:val="0"/>
    </w:pPr>
    <w:rPr>
      <w:rFonts w:eastAsia="方正小标宋简体" w:asciiTheme="majorAscii" w:hAnsiTheme="majorAscii" w:cstheme="majorBidi"/>
      <w:color w:val="2E54A1" w:themeColor="accent1" w:themeShade="BF"/>
      <w:sz w:val="44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Heading 1 Char"/>
    <w:basedOn w:val="5"/>
    <w:link w:val="2"/>
    <w:qFormat/>
    <w:uiPriority w:val="9"/>
    <w:rPr>
      <w:rFonts w:eastAsia="方正小标宋简体" w:asciiTheme="majorAscii" w:hAnsiTheme="majorAscii" w:cstheme="majorBidi"/>
      <w:color w:val="2E54A1" w:themeColor="accent1" w:themeShade="BF"/>
      <w:sz w:val="44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169</Characters>
  <Lines>0</Lines>
  <Paragraphs>0</Paragraphs>
  <TotalTime>0</TotalTime>
  <ScaleCrop>false</ScaleCrop>
  <LinksUpToDate>false</LinksUpToDate>
  <CharactersWithSpaces>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2024-10-16T02:15:00Z</dcterms:created>
  <dc:creator>ZXLZJ</dc:creator>
  <cp:lastModifiedBy>袁银霞</cp:lastModifiedBy>
  <dcterms:modified xsi:type="dcterms:W3CDTF">2025-03-04T09:40:03Z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63CBA25F9CFF4183BFCA833349DC78E1_12</vt:lpwstr>
  </property>
</Properties>
</file>